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BAD69">
      <w:pPr>
        <w:snapToGrid w:val="0"/>
        <w:ind w:firstLine="0" w:firstLineChars="0"/>
        <w:jc w:val="center"/>
        <w:rPr>
          <w:rFonts w:ascii="方正小标宋简体" w:hAnsi="仿宋_GB2312" w:eastAsia="方正小标宋简体" w:cs="仿宋_GB2312"/>
          <w:sz w:val="44"/>
          <w:szCs w:val="32"/>
        </w:rPr>
      </w:pPr>
      <w:r>
        <w:rPr>
          <w:rFonts w:hint="eastAsia" w:ascii="方正小标宋简体" w:hAnsi="仿宋_GB2312" w:eastAsia="方正小标宋简体" w:cs="仿宋_GB2312"/>
          <w:sz w:val="44"/>
          <w:szCs w:val="32"/>
        </w:rPr>
        <w:t>团体标准《横县茉莉花种植基地管理规范》</w:t>
      </w:r>
    </w:p>
    <w:p w14:paraId="416F8A23">
      <w:pPr>
        <w:snapToGrid w:val="0"/>
        <w:ind w:firstLine="0" w:firstLineChars="0"/>
        <w:jc w:val="center"/>
        <w:rPr>
          <w:rFonts w:ascii="方正小标宋简体" w:hAnsi="仿宋_GB2312" w:eastAsia="方正小标宋简体" w:cs="仿宋_GB2312"/>
          <w:sz w:val="44"/>
          <w:szCs w:val="32"/>
        </w:rPr>
      </w:pPr>
      <w:r>
        <w:rPr>
          <w:rFonts w:hint="eastAsia" w:ascii="方正小标宋简体" w:hAnsi="仿宋_GB2312" w:eastAsia="方正小标宋简体" w:cs="仿宋_GB2312"/>
          <w:sz w:val="44"/>
          <w:szCs w:val="32"/>
        </w:rPr>
        <w:t>（征求意见稿）编制说明</w:t>
      </w:r>
    </w:p>
    <w:p w14:paraId="577A4A8E">
      <w:pPr>
        <w:snapToGrid w:val="0"/>
        <w:ind w:firstLine="0" w:firstLineChars="0"/>
        <w:jc w:val="center"/>
        <w:rPr>
          <w:rFonts w:ascii="方正小标宋简体" w:hAnsi="仿宋_GB2312" w:eastAsia="方正小标宋简体" w:cs="仿宋_GB2312"/>
          <w:sz w:val="44"/>
          <w:szCs w:val="32"/>
        </w:rPr>
      </w:pPr>
    </w:p>
    <w:p w14:paraId="117D407B">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一、任务来源、起草单位、主要起草人</w:t>
      </w:r>
    </w:p>
    <w:p w14:paraId="66E314A3">
      <w:pPr>
        <w:ind w:firstLine="640"/>
        <w:rPr>
          <w:rFonts w:ascii="仿宋_GB2312" w:hAnsi="仿宋_GB2312" w:cs="仿宋_GB2312"/>
          <w:szCs w:val="28"/>
        </w:rPr>
      </w:pPr>
      <w:r>
        <w:rPr>
          <w:rFonts w:hint="eastAsia" w:ascii="仿宋_GB2312" w:hAnsi="仿宋_GB2312" w:cs="仿宋_GB2312"/>
          <w:szCs w:val="28"/>
        </w:rPr>
        <w:t>根据《广西标准化协会关于下达2026年第十六批团体标准制修订项目计划的通知》（桂标协〔2026〕172号）文件精神，由</w:t>
      </w:r>
      <w:r>
        <w:rPr>
          <w:rFonts w:hint="eastAsia"/>
          <w:color w:val="000000"/>
        </w:rPr>
        <w:t>横州市农业技术推广站</w:t>
      </w:r>
      <w:r>
        <w:rPr>
          <w:rFonts w:hint="eastAsia" w:ascii="仿宋_GB2312" w:hAnsi="仿宋_GB2312" w:cs="仿宋_GB2312"/>
          <w:szCs w:val="28"/>
        </w:rPr>
        <w:t>提出，</w:t>
      </w:r>
      <w:r>
        <w:rPr>
          <w:rFonts w:hint="eastAsia"/>
          <w:color w:val="000000"/>
        </w:rPr>
        <w:t>横州市农业技术推广站、横州市农业农村局、横州市茉莉花产业服务中心、横州市现代农业产业园管理中心、横州市花茶协会、横州市综合检验检测中心</w:t>
      </w:r>
      <w:r>
        <w:rPr>
          <w:rFonts w:hint="eastAsia" w:ascii="仿宋_GB2312" w:hAnsi="仿宋_GB2312" w:cs="仿宋_GB2312"/>
          <w:szCs w:val="28"/>
        </w:rPr>
        <w:t>等单位共同起草的团体标准《横县茉莉花种植基地管理规范》（项目编号：2026-1601），已获立项。</w:t>
      </w:r>
    </w:p>
    <w:p w14:paraId="484640F3">
      <w:pPr>
        <w:ind w:firstLine="640"/>
        <w:rPr>
          <w:rFonts w:ascii="仿宋_GB2312" w:hAnsi="仿宋_GB2312" w:cs="仿宋_GB2312"/>
          <w:szCs w:val="28"/>
        </w:rPr>
      </w:pPr>
      <w:r>
        <w:rPr>
          <w:rFonts w:hint="eastAsia" w:ascii="仿宋_GB2312" w:hAnsi="仿宋_GB2312" w:cs="仿宋_GB2312"/>
          <w:szCs w:val="28"/>
        </w:rPr>
        <w:t>为高质量编制团体标准《横县茉莉花种植基地管理规范》，由起草单位成立标准编制工作组并进行如下分工：</w:t>
      </w:r>
    </w:p>
    <w:tbl>
      <w:tblPr>
        <w:tblStyle w:val="6"/>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8"/>
        <w:gridCol w:w="1383"/>
        <w:gridCol w:w="2020"/>
        <w:gridCol w:w="1597"/>
        <w:gridCol w:w="3406"/>
      </w:tblGrid>
      <w:tr w14:paraId="38F9C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590F5AB">
            <w:pPr>
              <w:ind w:firstLine="0" w:firstLineChars="0"/>
              <w:jc w:val="center"/>
              <w:rPr>
                <w:rFonts w:ascii="仿宋_GB2312"/>
                <w:b/>
                <w:bCs/>
                <w:color w:val="auto"/>
                <w:sz w:val="24"/>
              </w:rPr>
            </w:pPr>
            <w:r>
              <w:rPr>
                <w:rFonts w:hint="eastAsia" w:ascii="仿宋_GB2312" w:hAnsi="宋体"/>
                <w:b/>
                <w:bCs/>
                <w:color w:val="auto"/>
                <w:sz w:val="24"/>
              </w:rPr>
              <w:t>序号</w:t>
            </w:r>
          </w:p>
        </w:tc>
        <w:tc>
          <w:tcPr>
            <w:tcW w:w="753" w:type="pct"/>
            <w:tcBorders>
              <w:top w:val="single" w:color="auto" w:sz="4" w:space="0"/>
              <w:left w:val="nil"/>
              <w:bottom w:val="single" w:color="auto" w:sz="4" w:space="0"/>
              <w:right w:val="single" w:color="auto" w:sz="4" w:space="0"/>
            </w:tcBorders>
            <w:vAlign w:val="center"/>
          </w:tcPr>
          <w:p w14:paraId="62392A4E">
            <w:pPr>
              <w:ind w:firstLine="0" w:firstLineChars="0"/>
              <w:jc w:val="center"/>
              <w:rPr>
                <w:rFonts w:ascii="仿宋_GB2312"/>
                <w:b/>
                <w:bCs/>
                <w:color w:val="auto"/>
                <w:sz w:val="24"/>
              </w:rPr>
            </w:pPr>
            <w:r>
              <w:rPr>
                <w:rFonts w:hint="eastAsia" w:ascii="仿宋_GB2312" w:hAnsi="宋体"/>
                <w:b/>
                <w:bCs/>
                <w:color w:val="auto"/>
                <w:sz w:val="24"/>
              </w:rPr>
              <w:t>姓名</w:t>
            </w:r>
          </w:p>
        </w:tc>
        <w:tc>
          <w:tcPr>
            <w:tcW w:w="1100" w:type="pct"/>
            <w:tcBorders>
              <w:top w:val="single" w:color="auto" w:sz="4" w:space="0"/>
              <w:left w:val="nil"/>
              <w:bottom w:val="single" w:color="auto" w:sz="4" w:space="0"/>
              <w:right w:val="single" w:color="auto" w:sz="4" w:space="0"/>
            </w:tcBorders>
            <w:vAlign w:val="center"/>
          </w:tcPr>
          <w:p w14:paraId="0BB2CEEB">
            <w:pPr>
              <w:ind w:firstLine="0" w:firstLineChars="0"/>
              <w:jc w:val="left"/>
              <w:rPr>
                <w:rFonts w:ascii="仿宋_GB2312"/>
                <w:b/>
                <w:bCs/>
                <w:color w:val="auto"/>
                <w:sz w:val="24"/>
              </w:rPr>
            </w:pPr>
            <w:r>
              <w:rPr>
                <w:rFonts w:hint="eastAsia" w:ascii="仿宋_GB2312" w:hAnsi="宋体"/>
                <w:b/>
                <w:bCs/>
                <w:color w:val="auto"/>
                <w:sz w:val="24"/>
              </w:rPr>
              <w:t>单位</w:t>
            </w:r>
          </w:p>
        </w:tc>
        <w:tc>
          <w:tcPr>
            <w:tcW w:w="870" w:type="pct"/>
            <w:tcBorders>
              <w:top w:val="single" w:color="auto" w:sz="4" w:space="0"/>
              <w:left w:val="nil"/>
              <w:bottom w:val="single" w:color="auto" w:sz="4" w:space="0"/>
              <w:right w:val="single" w:color="auto" w:sz="4" w:space="0"/>
            </w:tcBorders>
            <w:vAlign w:val="center"/>
          </w:tcPr>
          <w:p w14:paraId="761744CE">
            <w:pPr>
              <w:ind w:firstLine="0" w:firstLineChars="0"/>
              <w:jc w:val="left"/>
              <w:rPr>
                <w:rFonts w:ascii="仿宋_GB2312"/>
                <w:b/>
                <w:bCs/>
                <w:color w:val="auto"/>
                <w:sz w:val="24"/>
              </w:rPr>
            </w:pPr>
            <w:r>
              <w:rPr>
                <w:rFonts w:hint="eastAsia" w:ascii="仿宋_GB2312" w:hAnsi="宋体"/>
                <w:b/>
                <w:bCs/>
                <w:color w:val="auto"/>
                <w:sz w:val="24"/>
              </w:rPr>
              <w:t>职务</w:t>
            </w:r>
            <w:r>
              <w:rPr>
                <w:rFonts w:hint="eastAsia" w:ascii="仿宋_GB2312"/>
                <w:b/>
                <w:bCs/>
                <w:color w:val="auto"/>
                <w:sz w:val="24"/>
              </w:rPr>
              <w:t>/</w:t>
            </w:r>
            <w:r>
              <w:rPr>
                <w:rFonts w:hint="eastAsia" w:ascii="仿宋_GB2312" w:hAnsi="宋体"/>
                <w:b/>
                <w:bCs/>
                <w:color w:val="auto"/>
                <w:sz w:val="24"/>
              </w:rPr>
              <w:t>职称</w:t>
            </w:r>
          </w:p>
        </w:tc>
        <w:tc>
          <w:tcPr>
            <w:tcW w:w="1855" w:type="pct"/>
            <w:tcBorders>
              <w:top w:val="single" w:color="auto" w:sz="4" w:space="0"/>
              <w:left w:val="nil"/>
              <w:bottom w:val="single" w:color="auto" w:sz="4" w:space="0"/>
              <w:right w:val="single" w:color="auto" w:sz="4" w:space="0"/>
            </w:tcBorders>
            <w:vAlign w:val="center"/>
          </w:tcPr>
          <w:p w14:paraId="20DA0C15">
            <w:pPr>
              <w:ind w:firstLine="0" w:firstLineChars="0"/>
              <w:jc w:val="center"/>
              <w:rPr>
                <w:rFonts w:ascii="仿宋_GB2312" w:hAnsi="宋体"/>
                <w:b/>
                <w:bCs/>
                <w:color w:val="auto"/>
                <w:sz w:val="24"/>
              </w:rPr>
            </w:pPr>
            <w:r>
              <w:rPr>
                <w:rFonts w:hint="eastAsia" w:ascii="仿宋_GB2312" w:hAnsi="宋体"/>
                <w:b/>
                <w:bCs/>
                <w:color w:val="auto"/>
                <w:sz w:val="24"/>
              </w:rPr>
              <w:t>参与编制标准分工情况</w:t>
            </w:r>
          </w:p>
        </w:tc>
      </w:tr>
      <w:tr w14:paraId="0254D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4D795B9">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B554B42">
            <w:pPr>
              <w:ind w:firstLine="0" w:firstLineChars="0"/>
              <w:jc w:val="center"/>
              <w:rPr>
                <w:color w:val="auto"/>
                <w:sz w:val="24"/>
              </w:rPr>
            </w:pPr>
            <w:r>
              <w:rPr>
                <w:rFonts w:hint="eastAsia"/>
                <w:color w:val="auto"/>
                <w:sz w:val="24"/>
              </w:rPr>
              <w:t>梁枫</w:t>
            </w:r>
          </w:p>
        </w:tc>
        <w:tc>
          <w:tcPr>
            <w:tcW w:w="1100" w:type="pct"/>
            <w:tcBorders>
              <w:top w:val="single" w:color="auto" w:sz="4" w:space="0"/>
              <w:left w:val="nil"/>
              <w:bottom w:val="single" w:color="auto" w:sz="4" w:space="0"/>
              <w:right w:val="single" w:color="auto" w:sz="4" w:space="0"/>
            </w:tcBorders>
            <w:vAlign w:val="center"/>
          </w:tcPr>
          <w:p w14:paraId="285CA218">
            <w:pPr>
              <w:ind w:firstLine="0" w:firstLineChars="0"/>
              <w:jc w:val="left"/>
              <w:rPr>
                <w:rFonts w:ascii="宋体" w:hAnsi="宋体" w:eastAsia="宋体"/>
                <w:color w:val="auto"/>
                <w:sz w:val="24"/>
                <w:shd w:val="clear" w:color="auto" w:fill="FFFFFF"/>
              </w:rPr>
            </w:pPr>
            <w:r>
              <w:rPr>
                <w:rFonts w:ascii="仿宋_GB2312" w:hAnsi="宋体"/>
                <w:bCs/>
                <w:color w:val="auto"/>
                <w:sz w:val="24"/>
              </w:rPr>
              <w:t>中共横州市委员会</w:t>
            </w:r>
          </w:p>
        </w:tc>
        <w:tc>
          <w:tcPr>
            <w:tcW w:w="870" w:type="pct"/>
            <w:tcBorders>
              <w:top w:val="single" w:color="auto" w:sz="4" w:space="0"/>
              <w:left w:val="nil"/>
              <w:bottom w:val="single" w:color="auto" w:sz="4" w:space="0"/>
              <w:right w:val="single" w:color="auto" w:sz="4" w:space="0"/>
            </w:tcBorders>
            <w:vAlign w:val="center"/>
          </w:tcPr>
          <w:p w14:paraId="67E30DAF">
            <w:pPr>
              <w:ind w:firstLine="0" w:firstLineChars="0"/>
              <w:jc w:val="left"/>
              <w:rPr>
                <w:rFonts w:ascii="宋体" w:hAnsi="宋体" w:eastAsia="宋体"/>
                <w:color w:val="auto"/>
                <w:sz w:val="24"/>
                <w:shd w:val="clear" w:color="auto" w:fill="FFFFFF"/>
              </w:rPr>
            </w:pPr>
            <w:r>
              <w:rPr>
                <w:rFonts w:hint="eastAsia" w:ascii="仿宋_GB2312" w:hAnsi="宋体"/>
                <w:bCs/>
                <w:color w:val="auto"/>
                <w:sz w:val="24"/>
              </w:rPr>
              <w:t>书记</w:t>
            </w:r>
          </w:p>
        </w:tc>
        <w:tc>
          <w:tcPr>
            <w:tcW w:w="1855" w:type="pct"/>
            <w:tcBorders>
              <w:top w:val="single" w:color="auto" w:sz="4" w:space="0"/>
              <w:left w:val="nil"/>
              <w:bottom w:val="single" w:color="auto" w:sz="4" w:space="0"/>
              <w:right w:val="single" w:color="auto" w:sz="4" w:space="0"/>
            </w:tcBorders>
            <w:vAlign w:val="center"/>
          </w:tcPr>
          <w:p w14:paraId="5F5090D2">
            <w:pPr>
              <w:ind w:firstLine="0" w:firstLineChars="0"/>
              <w:rPr>
                <w:rFonts w:ascii="仿宋_GB2312" w:hAnsi="宋体"/>
                <w:color w:val="auto"/>
                <w:sz w:val="24"/>
              </w:rPr>
            </w:pPr>
            <w:r>
              <w:rPr>
                <w:rFonts w:hint="eastAsia" w:ascii="仿宋_GB2312"/>
                <w:color w:val="auto"/>
                <w:sz w:val="24"/>
              </w:rPr>
              <w:t>统筹主持标准编制工作</w:t>
            </w:r>
          </w:p>
        </w:tc>
      </w:tr>
      <w:tr w14:paraId="6AFC9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7F2D825">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7BCED203">
            <w:pPr>
              <w:ind w:firstLine="0" w:firstLineChars="0"/>
              <w:jc w:val="center"/>
              <w:rPr>
                <w:rFonts w:ascii="仿宋_GB2312" w:hAnsi="宋体"/>
                <w:bCs/>
                <w:color w:val="auto"/>
                <w:sz w:val="24"/>
              </w:rPr>
            </w:pPr>
            <w:r>
              <w:rPr>
                <w:rFonts w:hint="eastAsia" w:ascii="仿宋_GB2312" w:hAnsi="宋体"/>
                <w:bCs/>
                <w:color w:val="auto"/>
                <w:sz w:val="24"/>
              </w:rPr>
              <w:t>廖知启</w:t>
            </w:r>
          </w:p>
        </w:tc>
        <w:tc>
          <w:tcPr>
            <w:tcW w:w="1100" w:type="pct"/>
            <w:tcBorders>
              <w:top w:val="single" w:color="auto" w:sz="4" w:space="0"/>
              <w:left w:val="nil"/>
              <w:bottom w:val="single" w:color="auto" w:sz="4" w:space="0"/>
              <w:right w:val="single" w:color="auto" w:sz="4" w:space="0"/>
            </w:tcBorders>
            <w:vAlign w:val="center"/>
          </w:tcPr>
          <w:p w14:paraId="214CCC6C">
            <w:pPr>
              <w:ind w:firstLine="0" w:firstLineChars="0"/>
              <w:jc w:val="left"/>
              <w:rPr>
                <w:rFonts w:ascii="仿宋_GB2312" w:hAnsi="宋体"/>
                <w:bCs/>
                <w:color w:val="auto"/>
                <w:sz w:val="24"/>
              </w:rPr>
            </w:pPr>
            <w:r>
              <w:rPr>
                <w:rFonts w:hint="eastAsia" w:ascii="仿宋_GB2312" w:hAnsi="宋体"/>
                <w:bCs/>
                <w:color w:val="auto"/>
                <w:sz w:val="24"/>
              </w:rPr>
              <w:t>横州市人民政府</w:t>
            </w:r>
          </w:p>
        </w:tc>
        <w:tc>
          <w:tcPr>
            <w:tcW w:w="870" w:type="pct"/>
            <w:tcBorders>
              <w:top w:val="single" w:color="auto" w:sz="4" w:space="0"/>
              <w:left w:val="nil"/>
              <w:bottom w:val="single" w:color="auto" w:sz="4" w:space="0"/>
              <w:right w:val="single" w:color="auto" w:sz="4" w:space="0"/>
            </w:tcBorders>
            <w:vAlign w:val="center"/>
          </w:tcPr>
          <w:p w14:paraId="2DB136D9">
            <w:pPr>
              <w:ind w:firstLine="0" w:firstLineChars="0"/>
              <w:jc w:val="left"/>
              <w:rPr>
                <w:rFonts w:ascii="仿宋_GB2312" w:hAnsi="宋体"/>
                <w:bCs/>
                <w:color w:val="auto"/>
                <w:sz w:val="24"/>
              </w:rPr>
            </w:pPr>
            <w:r>
              <w:rPr>
                <w:rFonts w:hint="eastAsia" w:ascii="仿宋_GB2312" w:hAnsi="宋体"/>
                <w:bCs/>
                <w:color w:val="auto"/>
                <w:sz w:val="24"/>
              </w:rPr>
              <w:t>市长</w:t>
            </w:r>
          </w:p>
        </w:tc>
        <w:tc>
          <w:tcPr>
            <w:tcW w:w="1855" w:type="pct"/>
            <w:tcBorders>
              <w:top w:val="single" w:color="auto" w:sz="4" w:space="0"/>
              <w:left w:val="nil"/>
              <w:bottom w:val="single" w:color="auto" w:sz="4" w:space="0"/>
              <w:right w:val="single" w:color="auto" w:sz="4" w:space="0"/>
            </w:tcBorders>
            <w:vAlign w:val="center"/>
          </w:tcPr>
          <w:p w14:paraId="09CDCCFF">
            <w:pPr>
              <w:ind w:firstLine="0" w:firstLineChars="0"/>
              <w:rPr>
                <w:rFonts w:ascii="仿宋_GB2312" w:hAnsi="宋体"/>
                <w:color w:val="auto"/>
                <w:sz w:val="24"/>
              </w:rPr>
            </w:pPr>
            <w:r>
              <w:rPr>
                <w:rFonts w:hint="eastAsia" w:ascii="仿宋_GB2312"/>
                <w:color w:val="auto"/>
                <w:sz w:val="24"/>
              </w:rPr>
              <w:t>参与标准文本及编制说明编写，质量控制</w:t>
            </w:r>
          </w:p>
        </w:tc>
      </w:tr>
      <w:tr w14:paraId="34F29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36A3A3B3">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4FCBA462">
            <w:pPr>
              <w:ind w:firstLine="0" w:firstLineChars="0"/>
              <w:jc w:val="center"/>
              <w:rPr>
                <w:rFonts w:ascii="仿宋_GB2312" w:hAnsi="宋体"/>
                <w:b/>
                <w:bCs/>
                <w:color w:val="auto"/>
                <w:sz w:val="24"/>
              </w:rPr>
            </w:pPr>
            <w:r>
              <w:rPr>
                <w:rFonts w:hint="eastAsia"/>
                <w:color w:val="auto"/>
                <w:sz w:val="24"/>
              </w:rPr>
              <w:t>王治</w:t>
            </w:r>
          </w:p>
        </w:tc>
        <w:tc>
          <w:tcPr>
            <w:tcW w:w="1100" w:type="pct"/>
            <w:tcBorders>
              <w:top w:val="single" w:color="auto" w:sz="4" w:space="0"/>
              <w:left w:val="nil"/>
              <w:bottom w:val="single" w:color="auto" w:sz="4" w:space="0"/>
              <w:right w:val="single" w:color="auto" w:sz="4" w:space="0"/>
            </w:tcBorders>
            <w:vAlign w:val="center"/>
          </w:tcPr>
          <w:p w14:paraId="31233717">
            <w:pPr>
              <w:ind w:firstLine="0" w:firstLineChars="0"/>
              <w:jc w:val="left"/>
              <w:rPr>
                <w:rFonts w:ascii="仿宋_GB2312" w:hAnsi="宋体"/>
                <w:bCs/>
                <w:color w:val="auto"/>
                <w:sz w:val="24"/>
              </w:rPr>
            </w:pPr>
            <w:r>
              <w:rPr>
                <w:rFonts w:ascii="仿宋_GB2312" w:hAnsi="宋体"/>
                <w:bCs/>
                <w:color w:val="auto"/>
                <w:sz w:val="24"/>
              </w:rPr>
              <w:t>中共横州市委员会</w:t>
            </w:r>
          </w:p>
        </w:tc>
        <w:tc>
          <w:tcPr>
            <w:tcW w:w="870" w:type="pct"/>
            <w:tcBorders>
              <w:top w:val="single" w:color="auto" w:sz="4" w:space="0"/>
              <w:left w:val="nil"/>
              <w:bottom w:val="single" w:color="auto" w:sz="4" w:space="0"/>
              <w:right w:val="single" w:color="auto" w:sz="4" w:space="0"/>
            </w:tcBorders>
            <w:vAlign w:val="center"/>
          </w:tcPr>
          <w:p w14:paraId="29EC96D2">
            <w:pPr>
              <w:ind w:firstLine="0" w:firstLineChars="0"/>
              <w:jc w:val="left"/>
              <w:rPr>
                <w:rFonts w:ascii="仿宋_GB2312" w:hAnsi="宋体"/>
                <w:b/>
                <w:bCs/>
                <w:color w:val="auto"/>
                <w:sz w:val="24"/>
              </w:rPr>
            </w:pPr>
            <w:r>
              <w:rPr>
                <w:rFonts w:hint="eastAsia" w:ascii="仿宋_GB2312" w:hAnsi="宋体"/>
                <w:bCs/>
                <w:color w:val="auto"/>
                <w:sz w:val="24"/>
              </w:rPr>
              <w:t>副书记</w:t>
            </w:r>
          </w:p>
        </w:tc>
        <w:tc>
          <w:tcPr>
            <w:tcW w:w="1855" w:type="pct"/>
            <w:tcBorders>
              <w:top w:val="single" w:color="auto" w:sz="4" w:space="0"/>
              <w:left w:val="nil"/>
              <w:bottom w:val="single" w:color="auto" w:sz="4" w:space="0"/>
              <w:right w:val="single" w:color="auto" w:sz="4" w:space="0"/>
            </w:tcBorders>
            <w:vAlign w:val="center"/>
          </w:tcPr>
          <w:p w14:paraId="0CF70C58">
            <w:pPr>
              <w:ind w:firstLine="0" w:firstLineChars="0"/>
              <w:rPr>
                <w:rFonts w:ascii="仿宋_GB2312" w:hAnsi="宋体"/>
                <w:color w:val="auto"/>
                <w:sz w:val="24"/>
              </w:rPr>
            </w:pPr>
            <w:r>
              <w:rPr>
                <w:rFonts w:hint="eastAsia" w:ascii="仿宋_GB2312"/>
                <w:color w:val="auto"/>
                <w:sz w:val="24"/>
              </w:rPr>
              <w:t>参与标准编制工作，组织人员进行标准发布后的宣贯培训</w:t>
            </w:r>
          </w:p>
        </w:tc>
      </w:tr>
      <w:tr w14:paraId="1C54E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654F0C1B">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1B26FAA8">
            <w:pPr>
              <w:ind w:firstLine="0" w:firstLineChars="0"/>
              <w:jc w:val="center"/>
              <w:rPr>
                <w:rFonts w:ascii="仿宋_GB2312" w:hAnsi="宋体"/>
                <w:b/>
                <w:bCs/>
                <w:color w:val="auto"/>
                <w:sz w:val="24"/>
              </w:rPr>
            </w:pPr>
            <w:r>
              <w:rPr>
                <w:rFonts w:hint="eastAsia"/>
                <w:color w:val="auto"/>
                <w:sz w:val="24"/>
              </w:rPr>
              <w:t>蒙柯宇</w:t>
            </w:r>
          </w:p>
        </w:tc>
        <w:tc>
          <w:tcPr>
            <w:tcW w:w="1100" w:type="pct"/>
            <w:tcBorders>
              <w:top w:val="single" w:color="auto" w:sz="4" w:space="0"/>
              <w:left w:val="nil"/>
              <w:bottom w:val="single" w:color="auto" w:sz="4" w:space="0"/>
              <w:right w:val="single" w:color="auto" w:sz="4" w:space="0"/>
            </w:tcBorders>
            <w:vAlign w:val="center"/>
          </w:tcPr>
          <w:p w14:paraId="5845B9C2">
            <w:pPr>
              <w:ind w:firstLine="0" w:firstLineChars="0"/>
              <w:jc w:val="left"/>
              <w:rPr>
                <w:rFonts w:ascii="仿宋_GB2312" w:hAnsi="宋体"/>
                <w:bCs/>
                <w:color w:val="auto"/>
                <w:sz w:val="24"/>
              </w:rPr>
            </w:pPr>
            <w:r>
              <w:rPr>
                <w:rFonts w:hint="eastAsia" w:ascii="仿宋_GB2312" w:hAnsi="宋体"/>
                <w:bCs/>
                <w:color w:val="auto"/>
                <w:sz w:val="24"/>
              </w:rPr>
              <w:t>横州市人民政府</w:t>
            </w:r>
          </w:p>
        </w:tc>
        <w:tc>
          <w:tcPr>
            <w:tcW w:w="870" w:type="pct"/>
            <w:tcBorders>
              <w:top w:val="single" w:color="auto" w:sz="4" w:space="0"/>
              <w:left w:val="nil"/>
              <w:bottom w:val="single" w:color="auto" w:sz="4" w:space="0"/>
              <w:right w:val="single" w:color="auto" w:sz="4" w:space="0"/>
            </w:tcBorders>
            <w:vAlign w:val="center"/>
          </w:tcPr>
          <w:p w14:paraId="03B49485">
            <w:pPr>
              <w:ind w:firstLine="0" w:firstLineChars="0"/>
              <w:jc w:val="left"/>
              <w:rPr>
                <w:rFonts w:ascii="仿宋_GB2312" w:hAnsi="宋体"/>
                <w:bCs/>
                <w:color w:val="auto"/>
                <w:sz w:val="24"/>
              </w:rPr>
            </w:pPr>
            <w:r>
              <w:rPr>
                <w:rFonts w:hint="eastAsia" w:ascii="仿宋_GB2312" w:hAnsi="宋体"/>
                <w:bCs/>
                <w:color w:val="auto"/>
                <w:sz w:val="24"/>
              </w:rPr>
              <w:t>副市长</w:t>
            </w:r>
          </w:p>
        </w:tc>
        <w:tc>
          <w:tcPr>
            <w:tcW w:w="1855" w:type="pct"/>
            <w:tcBorders>
              <w:top w:val="single" w:color="auto" w:sz="4" w:space="0"/>
              <w:left w:val="nil"/>
              <w:bottom w:val="single" w:color="auto" w:sz="4" w:space="0"/>
              <w:right w:val="single" w:color="auto" w:sz="4" w:space="0"/>
            </w:tcBorders>
            <w:vAlign w:val="center"/>
          </w:tcPr>
          <w:p w14:paraId="36F7C1A6">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228C8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637FA4A5">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3D34EAC6">
            <w:pPr>
              <w:ind w:firstLine="0" w:firstLineChars="0"/>
              <w:jc w:val="center"/>
              <w:rPr>
                <w:rFonts w:ascii="仿宋_GB2312" w:hAnsi="宋体"/>
                <w:b/>
                <w:bCs/>
                <w:color w:val="auto"/>
                <w:sz w:val="24"/>
              </w:rPr>
            </w:pPr>
            <w:r>
              <w:rPr>
                <w:rFonts w:hint="eastAsia"/>
                <w:color w:val="auto"/>
                <w:sz w:val="24"/>
              </w:rPr>
              <w:t>李章靖</w:t>
            </w:r>
          </w:p>
        </w:tc>
        <w:tc>
          <w:tcPr>
            <w:tcW w:w="1100" w:type="pct"/>
            <w:tcBorders>
              <w:top w:val="single" w:color="auto" w:sz="4" w:space="0"/>
              <w:left w:val="nil"/>
              <w:bottom w:val="single" w:color="auto" w:sz="4" w:space="0"/>
              <w:right w:val="single" w:color="auto" w:sz="4" w:space="0"/>
            </w:tcBorders>
            <w:vAlign w:val="center"/>
          </w:tcPr>
          <w:p w14:paraId="67370677">
            <w:pPr>
              <w:ind w:firstLine="0" w:firstLineChars="0"/>
              <w:jc w:val="left"/>
              <w:rPr>
                <w:rFonts w:ascii="宋体" w:hAnsi="宋体" w:eastAsia="宋体"/>
                <w:color w:val="auto"/>
                <w:sz w:val="24"/>
                <w:shd w:val="clear" w:color="auto" w:fill="FFFFFF"/>
              </w:rPr>
            </w:pPr>
            <w:r>
              <w:rPr>
                <w:rFonts w:ascii="仿宋_GB2312" w:hAnsi="宋体"/>
                <w:bCs/>
                <w:color w:val="auto"/>
                <w:sz w:val="24"/>
              </w:rPr>
              <w:t>中共横州市委员会</w:t>
            </w:r>
          </w:p>
        </w:tc>
        <w:tc>
          <w:tcPr>
            <w:tcW w:w="870" w:type="pct"/>
            <w:tcBorders>
              <w:top w:val="single" w:color="auto" w:sz="4" w:space="0"/>
              <w:left w:val="nil"/>
              <w:bottom w:val="single" w:color="auto" w:sz="4" w:space="0"/>
              <w:right w:val="single" w:color="auto" w:sz="4" w:space="0"/>
            </w:tcBorders>
            <w:vAlign w:val="center"/>
          </w:tcPr>
          <w:p w14:paraId="5BD36D23">
            <w:pPr>
              <w:ind w:firstLine="0" w:firstLineChars="0"/>
              <w:jc w:val="left"/>
              <w:rPr>
                <w:rFonts w:ascii="宋体" w:hAnsi="宋体" w:eastAsia="宋体"/>
                <w:color w:val="auto"/>
                <w:sz w:val="24"/>
                <w:shd w:val="clear" w:color="auto" w:fill="FFFFFF"/>
              </w:rPr>
            </w:pPr>
            <w:bookmarkStart w:id="0" w:name="OLE_LINK3"/>
            <w:r>
              <w:rPr>
                <w:rFonts w:hint="eastAsia" w:ascii="宋体" w:hAnsi="宋体"/>
                <w:color w:val="auto"/>
                <w:sz w:val="24"/>
                <w:shd w:val="clear" w:color="auto" w:fill="FFFFFF"/>
              </w:rPr>
              <w:t>办公室副主任</w:t>
            </w:r>
            <w:bookmarkEnd w:id="0"/>
          </w:p>
        </w:tc>
        <w:tc>
          <w:tcPr>
            <w:tcW w:w="1855" w:type="pct"/>
            <w:tcBorders>
              <w:top w:val="single" w:color="auto" w:sz="4" w:space="0"/>
              <w:left w:val="nil"/>
              <w:bottom w:val="single" w:color="auto" w:sz="4" w:space="0"/>
              <w:right w:val="single" w:color="auto" w:sz="4" w:space="0"/>
            </w:tcBorders>
            <w:vAlign w:val="center"/>
          </w:tcPr>
          <w:p w14:paraId="6CE3CB60">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72A1A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FECC02D">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49C307D5">
            <w:pPr>
              <w:ind w:firstLine="0" w:firstLineChars="0"/>
              <w:jc w:val="center"/>
              <w:rPr>
                <w:rFonts w:ascii="仿宋_GB2312" w:hAnsi="宋体"/>
                <w:b/>
                <w:bCs/>
                <w:color w:val="auto"/>
                <w:sz w:val="24"/>
              </w:rPr>
            </w:pPr>
            <w:r>
              <w:rPr>
                <w:rFonts w:hint="eastAsia"/>
                <w:color w:val="auto"/>
                <w:sz w:val="24"/>
              </w:rPr>
              <w:t>甘洪铭</w:t>
            </w:r>
          </w:p>
        </w:tc>
        <w:tc>
          <w:tcPr>
            <w:tcW w:w="1100" w:type="pct"/>
            <w:tcBorders>
              <w:top w:val="single" w:color="auto" w:sz="4" w:space="0"/>
              <w:left w:val="nil"/>
              <w:bottom w:val="single" w:color="auto" w:sz="4" w:space="0"/>
              <w:right w:val="single" w:color="auto" w:sz="4" w:space="0"/>
            </w:tcBorders>
            <w:vAlign w:val="center"/>
          </w:tcPr>
          <w:p w14:paraId="469B1B4C">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横州市人民政府</w:t>
            </w:r>
          </w:p>
        </w:tc>
        <w:tc>
          <w:tcPr>
            <w:tcW w:w="870" w:type="pct"/>
            <w:tcBorders>
              <w:top w:val="single" w:color="auto" w:sz="4" w:space="0"/>
              <w:left w:val="nil"/>
              <w:bottom w:val="single" w:color="auto" w:sz="4" w:space="0"/>
              <w:right w:val="single" w:color="auto" w:sz="4" w:space="0"/>
            </w:tcBorders>
            <w:vAlign w:val="center"/>
          </w:tcPr>
          <w:p w14:paraId="14C32F67">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办公室副主任</w:t>
            </w:r>
          </w:p>
        </w:tc>
        <w:tc>
          <w:tcPr>
            <w:tcW w:w="1855" w:type="pct"/>
            <w:tcBorders>
              <w:top w:val="single" w:color="auto" w:sz="4" w:space="0"/>
              <w:left w:val="nil"/>
              <w:bottom w:val="single" w:color="auto" w:sz="4" w:space="0"/>
              <w:right w:val="single" w:color="auto" w:sz="4" w:space="0"/>
            </w:tcBorders>
            <w:vAlign w:val="center"/>
          </w:tcPr>
          <w:p w14:paraId="7CE1D891">
            <w:pPr>
              <w:ind w:firstLine="0" w:firstLineChars="0"/>
              <w:rPr>
                <w:rFonts w:ascii="仿宋_GB2312"/>
                <w:color w:val="auto"/>
                <w:sz w:val="24"/>
              </w:rPr>
            </w:pPr>
            <w:r>
              <w:rPr>
                <w:rFonts w:hint="eastAsia" w:ascii="仿宋_GB2312"/>
                <w:color w:val="auto"/>
                <w:sz w:val="24"/>
              </w:rPr>
              <w:t>参与标准文本及编制说明的编写；组织开展标准征求意见会</w:t>
            </w:r>
          </w:p>
        </w:tc>
      </w:tr>
      <w:tr w14:paraId="564C6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75F63305">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5BF283C">
            <w:pPr>
              <w:ind w:firstLine="0" w:firstLineChars="0"/>
              <w:jc w:val="center"/>
              <w:rPr>
                <w:rFonts w:hAnsi="宋体"/>
                <w:bCs/>
                <w:color w:val="auto"/>
                <w:sz w:val="24"/>
              </w:rPr>
            </w:pPr>
            <w:r>
              <w:rPr>
                <w:rFonts w:hAnsi="宋体"/>
                <w:bCs/>
                <w:color w:val="auto"/>
                <w:sz w:val="24"/>
              </w:rPr>
              <w:t>黄家兴</w:t>
            </w:r>
          </w:p>
        </w:tc>
        <w:tc>
          <w:tcPr>
            <w:tcW w:w="1100" w:type="pct"/>
            <w:tcBorders>
              <w:top w:val="single" w:color="auto" w:sz="4" w:space="0"/>
              <w:left w:val="nil"/>
              <w:bottom w:val="single" w:color="auto" w:sz="4" w:space="0"/>
              <w:right w:val="single" w:color="auto" w:sz="4" w:space="0"/>
            </w:tcBorders>
            <w:vAlign w:val="center"/>
          </w:tcPr>
          <w:p w14:paraId="1644BCBC">
            <w:pPr>
              <w:ind w:firstLine="0" w:firstLineChars="0"/>
              <w:jc w:val="left"/>
              <w:rPr>
                <w:rFonts w:hAnsi="宋体"/>
                <w:color w:val="auto"/>
                <w:sz w:val="24"/>
              </w:rPr>
            </w:pPr>
            <w:r>
              <w:rPr>
                <w:rFonts w:hAnsi="宋体"/>
                <w:color w:val="auto"/>
                <w:sz w:val="24"/>
              </w:rPr>
              <w:t>横州市农业农村局</w:t>
            </w:r>
          </w:p>
        </w:tc>
        <w:tc>
          <w:tcPr>
            <w:tcW w:w="870" w:type="pct"/>
            <w:tcBorders>
              <w:top w:val="single" w:color="auto" w:sz="4" w:space="0"/>
              <w:left w:val="nil"/>
              <w:bottom w:val="single" w:color="auto" w:sz="4" w:space="0"/>
              <w:right w:val="single" w:color="auto" w:sz="4" w:space="0"/>
            </w:tcBorders>
            <w:vAlign w:val="center"/>
          </w:tcPr>
          <w:p w14:paraId="4B592100">
            <w:pPr>
              <w:ind w:firstLine="0" w:firstLineChars="0"/>
              <w:jc w:val="left"/>
              <w:rPr>
                <w:rFonts w:hAnsi="宋体"/>
                <w:color w:val="auto"/>
                <w:sz w:val="24"/>
              </w:rPr>
            </w:pPr>
            <w:r>
              <w:rPr>
                <w:rFonts w:hAnsi="宋体"/>
                <w:color w:val="auto"/>
                <w:sz w:val="24"/>
              </w:rPr>
              <w:t>局长</w:t>
            </w:r>
          </w:p>
        </w:tc>
        <w:tc>
          <w:tcPr>
            <w:tcW w:w="1855" w:type="pct"/>
            <w:tcBorders>
              <w:top w:val="single" w:color="auto" w:sz="4" w:space="0"/>
              <w:left w:val="nil"/>
              <w:bottom w:val="single" w:color="auto" w:sz="4" w:space="0"/>
              <w:right w:val="single" w:color="auto" w:sz="4" w:space="0"/>
            </w:tcBorders>
            <w:vAlign w:val="center"/>
          </w:tcPr>
          <w:p w14:paraId="1670BD04">
            <w:pPr>
              <w:ind w:firstLine="0" w:firstLineChars="0"/>
              <w:rPr>
                <w:rFonts w:hAnsi="宋体"/>
                <w:color w:val="auto"/>
                <w:sz w:val="24"/>
              </w:rPr>
            </w:pPr>
            <w:r>
              <w:rPr>
                <w:rFonts w:hint="eastAsia" w:ascii="仿宋_GB2312"/>
                <w:color w:val="auto"/>
                <w:sz w:val="24"/>
              </w:rPr>
              <w:t>参与标准文本及编制说明的编写；组织开展标准征求意见会</w:t>
            </w:r>
          </w:p>
        </w:tc>
      </w:tr>
      <w:tr w14:paraId="6B171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7CA82C1C">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CE942A5">
            <w:pPr>
              <w:ind w:firstLine="0" w:firstLineChars="0"/>
              <w:jc w:val="center"/>
              <w:rPr>
                <w:rFonts w:ascii="仿宋_GB2312" w:hAnsi="宋体"/>
                <w:b/>
                <w:bCs/>
                <w:color w:val="auto"/>
                <w:sz w:val="24"/>
              </w:rPr>
            </w:pPr>
            <w:r>
              <w:rPr>
                <w:color w:val="auto"/>
                <w:sz w:val="24"/>
              </w:rPr>
              <w:t>梁丽萍</w:t>
            </w:r>
          </w:p>
        </w:tc>
        <w:tc>
          <w:tcPr>
            <w:tcW w:w="1100" w:type="pct"/>
            <w:tcBorders>
              <w:top w:val="single" w:color="auto" w:sz="4" w:space="0"/>
              <w:left w:val="nil"/>
              <w:bottom w:val="single" w:color="auto" w:sz="4" w:space="0"/>
              <w:right w:val="single" w:color="auto" w:sz="4" w:space="0"/>
            </w:tcBorders>
            <w:vAlign w:val="center"/>
          </w:tcPr>
          <w:p w14:paraId="40391649">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横州市农业农村局</w:t>
            </w:r>
          </w:p>
        </w:tc>
        <w:tc>
          <w:tcPr>
            <w:tcW w:w="870" w:type="pct"/>
            <w:tcBorders>
              <w:top w:val="single" w:color="auto" w:sz="4" w:space="0"/>
              <w:left w:val="nil"/>
              <w:bottom w:val="single" w:color="auto" w:sz="4" w:space="0"/>
              <w:right w:val="single" w:color="auto" w:sz="4" w:space="0"/>
            </w:tcBorders>
            <w:vAlign w:val="center"/>
          </w:tcPr>
          <w:p w14:paraId="451F8F6A">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副局长</w:t>
            </w:r>
          </w:p>
        </w:tc>
        <w:tc>
          <w:tcPr>
            <w:tcW w:w="1855" w:type="pct"/>
            <w:tcBorders>
              <w:top w:val="single" w:color="auto" w:sz="4" w:space="0"/>
              <w:left w:val="nil"/>
              <w:bottom w:val="single" w:color="auto" w:sz="4" w:space="0"/>
              <w:right w:val="single" w:color="auto" w:sz="4" w:space="0"/>
            </w:tcBorders>
            <w:vAlign w:val="center"/>
          </w:tcPr>
          <w:p w14:paraId="226C3B08">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674EE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B83ABB6">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23DF0B7E">
            <w:pPr>
              <w:ind w:firstLine="0" w:firstLineChars="0"/>
              <w:jc w:val="center"/>
              <w:rPr>
                <w:rFonts w:hint="eastAsia"/>
                <w:color w:val="auto"/>
                <w:sz w:val="24"/>
              </w:rPr>
            </w:pPr>
            <w:r>
              <w:rPr>
                <w:rFonts w:ascii="仿宋_GB2312" w:hAnsi="宋体"/>
                <w:color w:val="auto"/>
                <w:sz w:val="24"/>
              </w:rPr>
              <w:t>唐爽</w:t>
            </w:r>
          </w:p>
        </w:tc>
        <w:tc>
          <w:tcPr>
            <w:tcW w:w="1100" w:type="pct"/>
            <w:tcBorders>
              <w:top w:val="single" w:color="auto" w:sz="4" w:space="0"/>
              <w:left w:val="nil"/>
              <w:bottom w:val="single" w:color="auto" w:sz="4" w:space="0"/>
              <w:right w:val="single" w:color="auto" w:sz="4" w:space="0"/>
            </w:tcBorders>
            <w:vAlign w:val="center"/>
          </w:tcPr>
          <w:p w14:paraId="7072386E">
            <w:pPr>
              <w:widowControl/>
              <w:ind w:firstLine="0" w:firstLineChars="0"/>
              <w:jc w:val="left"/>
              <w:textAlignment w:val="center"/>
              <w:rPr>
                <w:rFonts w:hint="eastAsia" w:ascii="宋体" w:hAnsi="宋体"/>
                <w:color w:val="auto"/>
                <w:sz w:val="24"/>
                <w:shd w:val="clear" w:color="auto" w:fill="FFFFFF"/>
                <w:lang w:val="en-US" w:eastAsia="zh-CN"/>
              </w:rPr>
            </w:pPr>
            <w:r>
              <w:rPr>
                <w:rFonts w:hint="eastAsia" w:ascii="仿宋_GB2312"/>
                <w:color w:val="auto"/>
                <w:kern w:val="0"/>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7BDB3813">
            <w:pPr>
              <w:widowControl/>
              <w:ind w:firstLine="0" w:firstLineChars="0"/>
              <w:jc w:val="left"/>
              <w:textAlignment w:val="center"/>
              <w:rPr>
                <w:rFonts w:hint="eastAsia" w:ascii="宋体" w:hAnsi="宋体"/>
                <w:color w:val="auto"/>
                <w:sz w:val="24"/>
                <w:shd w:val="clear" w:color="auto" w:fill="FFFFFF"/>
                <w:lang w:val="en-US" w:eastAsia="zh-CN"/>
              </w:rPr>
            </w:pPr>
            <w:r>
              <w:rPr>
                <w:rFonts w:ascii="仿宋_GB2312"/>
                <w:color w:val="auto"/>
                <w:kern w:val="0"/>
                <w:sz w:val="24"/>
              </w:rPr>
              <w:t>副主任</w:t>
            </w:r>
          </w:p>
        </w:tc>
        <w:tc>
          <w:tcPr>
            <w:tcW w:w="1855" w:type="pct"/>
            <w:tcBorders>
              <w:top w:val="single" w:color="auto" w:sz="4" w:space="0"/>
              <w:left w:val="nil"/>
              <w:bottom w:val="single" w:color="auto" w:sz="4" w:space="0"/>
              <w:right w:val="single" w:color="auto" w:sz="4" w:space="0"/>
            </w:tcBorders>
            <w:vAlign w:val="center"/>
          </w:tcPr>
          <w:p w14:paraId="21DB8013">
            <w:pPr>
              <w:ind w:firstLine="0" w:firstLineChars="0"/>
              <w:rPr>
                <w:rFonts w:hint="eastAsia" w:ascii="仿宋_GB2312"/>
                <w:color w:val="auto"/>
                <w:sz w:val="24"/>
              </w:rPr>
            </w:pPr>
            <w:r>
              <w:rPr>
                <w:rFonts w:hint="eastAsia" w:ascii="仿宋_GB2312" w:cs="仿宋_GB2312"/>
                <w:color w:val="auto"/>
                <w:sz w:val="24"/>
              </w:rPr>
              <w:t>参与标准文本及编制说明的编写；组织开展标准征求意见会</w:t>
            </w:r>
          </w:p>
        </w:tc>
      </w:tr>
      <w:tr w14:paraId="77CC9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70CEFA8A">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CB6764D">
            <w:pPr>
              <w:ind w:firstLine="0" w:firstLineChars="0"/>
              <w:jc w:val="center"/>
              <w:rPr>
                <w:rFonts w:ascii="仿宋_GB2312" w:hAnsi="宋体"/>
                <w:color w:val="auto"/>
                <w:sz w:val="24"/>
              </w:rPr>
            </w:pPr>
            <w:r>
              <w:rPr>
                <w:rFonts w:hint="eastAsia"/>
                <w:color w:val="auto"/>
                <w:sz w:val="24"/>
              </w:rPr>
              <w:t>陈永晶</w:t>
            </w:r>
          </w:p>
        </w:tc>
        <w:tc>
          <w:tcPr>
            <w:tcW w:w="1100" w:type="pct"/>
            <w:tcBorders>
              <w:top w:val="single" w:color="auto" w:sz="4" w:space="0"/>
              <w:left w:val="nil"/>
              <w:bottom w:val="single" w:color="auto" w:sz="4" w:space="0"/>
              <w:right w:val="single" w:color="auto" w:sz="4" w:space="0"/>
            </w:tcBorders>
            <w:vAlign w:val="center"/>
          </w:tcPr>
          <w:p w14:paraId="5A96CA5E">
            <w:pPr>
              <w:widowControl/>
              <w:ind w:firstLine="0" w:firstLineChars="0"/>
              <w:jc w:val="left"/>
              <w:textAlignment w:val="center"/>
              <w:rPr>
                <w:rFonts w:ascii="宋体" w:hAnsi="宋体" w:eastAsia="宋体"/>
                <w:color w:val="auto"/>
                <w:sz w:val="24"/>
                <w:shd w:val="clear" w:color="auto" w:fill="FFFFFF"/>
              </w:rPr>
            </w:pPr>
            <w:r>
              <w:rPr>
                <w:rFonts w:ascii="仿宋_GB2312"/>
                <w:color w:val="auto"/>
                <w:kern w:val="0"/>
                <w:sz w:val="24"/>
              </w:rPr>
              <w:t>横州市乡村振兴服务中心</w:t>
            </w:r>
          </w:p>
        </w:tc>
        <w:tc>
          <w:tcPr>
            <w:tcW w:w="870" w:type="pct"/>
            <w:tcBorders>
              <w:top w:val="single" w:color="auto" w:sz="4" w:space="0"/>
              <w:left w:val="nil"/>
              <w:bottom w:val="single" w:color="auto" w:sz="4" w:space="0"/>
              <w:right w:val="single" w:color="auto" w:sz="4" w:space="0"/>
            </w:tcBorders>
            <w:vAlign w:val="center"/>
          </w:tcPr>
          <w:p w14:paraId="6E03F56B">
            <w:pPr>
              <w:widowControl/>
              <w:ind w:firstLine="0" w:firstLineChars="0"/>
              <w:jc w:val="left"/>
              <w:textAlignment w:val="center"/>
              <w:rPr>
                <w:rFonts w:ascii="宋体" w:hAnsi="宋体" w:eastAsia="宋体"/>
                <w:color w:val="auto"/>
                <w:sz w:val="24"/>
                <w:shd w:val="clear" w:color="auto" w:fill="FFFFFF"/>
              </w:rPr>
            </w:pPr>
            <w:r>
              <w:rPr>
                <w:rFonts w:ascii="仿宋_GB2312"/>
                <w:color w:val="auto"/>
                <w:kern w:val="0"/>
                <w:sz w:val="24"/>
              </w:rPr>
              <w:t>高级农艺师</w:t>
            </w:r>
          </w:p>
        </w:tc>
        <w:tc>
          <w:tcPr>
            <w:tcW w:w="1855" w:type="pct"/>
            <w:tcBorders>
              <w:top w:val="single" w:color="auto" w:sz="4" w:space="0"/>
              <w:left w:val="nil"/>
              <w:bottom w:val="single" w:color="auto" w:sz="4" w:space="0"/>
              <w:right w:val="single" w:color="auto" w:sz="4" w:space="0"/>
            </w:tcBorders>
            <w:vAlign w:val="center"/>
          </w:tcPr>
          <w:p w14:paraId="0610C9B4">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78E9D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B0376F0">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19F25A00">
            <w:pPr>
              <w:ind w:firstLine="0" w:firstLineChars="0"/>
              <w:jc w:val="center"/>
              <w:rPr>
                <w:rFonts w:ascii="仿宋_GB2312" w:hAnsi="宋体"/>
                <w:b/>
                <w:bCs/>
                <w:color w:val="auto"/>
                <w:sz w:val="24"/>
              </w:rPr>
            </w:pPr>
            <w:r>
              <w:rPr>
                <w:rFonts w:hint="eastAsia"/>
                <w:color w:val="auto"/>
                <w:sz w:val="24"/>
              </w:rPr>
              <w:t>吴峰</w:t>
            </w:r>
          </w:p>
        </w:tc>
        <w:tc>
          <w:tcPr>
            <w:tcW w:w="1100" w:type="pct"/>
            <w:tcBorders>
              <w:top w:val="single" w:color="auto" w:sz="4" w:space="0"/>
              <w:left w:val="nil"/>
              <w:bottom w:val="single" w:color="auto" w:sz="4" w:space="0"/>
              <w:right w:val="single" w:color="auto" w:sz="4" w:space="0"/>
            </w:tcBorders>
            <w:vAlign w:val="center"/>
          </w:tcPr>
          <w:p w14:paraId="24A08951">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横州市农业技术推广站</w:t>
            </w:r>
          </w:p>
        </w:tc>
        <w:tc>
          <w:tcPr>
            <w:tcW w:w="870" w:type="pct"/>
            <w:tcBorders>
              <w:top w:val="single" w:color="auto" w:sz="4" w:space="0"/>
              <w:left w:val="nil"/>
              <w:bottom w:val="single" w:color="auto" w:sz="4" w:space="0"/>
              <w:right w:val="single" w:color="auto" w:sz="4" w:space="0"/>
            </w:tcBorders>
            <w:vAlign w:val="center"/>
          </w:tcPr>
          <w:p w14:paraId="54DDC8F1">
            <w:pPr>
              <w:ind w:firstLine="0" w:firstLineChars="0"/>
              <w:jc w:val="left"/>
              <w:rPr>
                <w:rFonts w:ascii="仿宋_GB2312" w:hAnsi="宋体"/>
                <w:color w:val="auto"/>
                <w:sz w:val="24"/>
              </w:rPr>
            </w:pPr>
            <w:r>
              <w:rPr>
                <w:rFonts w:ascii="仿宋_GB2312" w:hAnsi="宋体"/>
                <w:color w:val="auto"/>
                <w:sz w:val="24"/>
              </w:rPr>
              <w:t>站长/推广研究员</w:t>
            </w:r>
          </w:p>
        </w:tc>
        <w:tc>
          <w:tcPr>
            <w:tcW w:w="1855" w:type="pct"/>
            <w:tcBorders>
              <w:top w:val="single" w:color="auto" w:sz="4" w:space="0"/>
              <w:left w:val="nil"/>
              <w:bottom w:val="single" w:color="auto" w:sz="4" w:space="0"/>
              <w:right w:val="single" w:color="auto" w:sz="4" w:space="0"/>
            </w:tcBorders>
            <w:vAlign w:val="center"/>
          </w:tcPr>
          <w:p w14:paraId="1E3B3F58">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1B450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3062D426">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0F258786">
            <w:pPr>
              <w:ind w:firstLine="0" w:firstLineChars="0"/>
              <w:jc w:val="center"/>
              <w:rPr>
                <w:rFonts w:ascii="仿宋_GB2312" w:hAnsi="宋体"/>
                <w:b/>
                <w:bCs/>
                <w:color w:val="auto"/>
                <w:sz w:val="24"/>
              </w:rPr>
            </w:pPr>
            <w:r>
              <w:rPr>
                <w:rFonts w:hint="eastAsia"/>
                <w:color w:val="auto"/>
                <w:sz w:val="24"/>
              </w:rPr>
              <w:t>覃培松</w:t>
            </w:r>
          </w:p>
        </w:tc>
        <w:tc>
          <w:tcPr>
            <w:tcW w:w="1100" w:type="pct"/>
            <w:tcBorders>
              <w:top w:val="single" w:color="auto" w:sz="4" w:space="0"/>
              <w:left w:val="nil"/>
              <w:bottom w:val="single" w:color="auto" w:sz="4" w:space="0"/>
              <w:right w:val="single" w:color="auto" w:sz="4" w:space="0"/>
            </w:tcBorders>
            <w:vAlign w:val="center"/>
          </w:tcPr>
          <w:p w14:paraId="47551747">
            <w:pPr>
              <w:ind w:firstLine="0" w:firstLineChars="0"/>
              <w:jc w:val="left"/>
              <w:rPr>
                <w:rFonts w:ascii="宋体" w:hAnsi="宋体" w:eastAsia="宋体"/>
                <w:color w:val="auto"/>
                <w:sz w:val="24"/>
                <w:shd w:val="clear" w:color="auto" w:fill="FFFFFF"/>
              </w:rPr>
            </w:pPr>
            <w:r>
              <w:rPr>
                <w:rFonts w:ascii="仿宋_GB2312" w:hAnsi="宋体"/>
                <w:color w:val="auto"/>
                <w:kern w:val="0"/>
                <w:sz w:val="24"/>
              </w:rPr>
              <w:t>横州市农业科教站</w:t>
            </w:r>
          </w:p>
        </w:tc>
        <w:tc>
          <w:tcPr>
            <w:tcW w:w="870" w:type="pct"/>
            <w:tcBorders>
              <w:top w:val="single" w:color="auto" w:sz="4" w:space="0"/>
              <w:left w:val="nil"/>
              <w:bottom w:val="single" w:color="auto" w:sz="4" w:space="0"/>
              <w:right w:val="single" w:color="auto" w:sz="4" w:space="0"/>
            </w:tcBorders>
            <w:vAlign w:val="center"/>
          </w:tcPr>
          <w:p w14:paraId="4E537757">
            <w:pPr>
              <w:ind w:firstLine="0" w:firstLineChars="0"/>
              <w:jc w:val="left"/>
              <w:rPr>
                <w:rFonts w:ascii="仿宋_GB2312" w:hAnsi="宋体"/>
                <w:bCs/>
                <w:color w:val="auto"/>
                <w:sz w:val="24"/>
              </w:rPr>
            </w:pPr>
            <w:r>
              <w:rPr>
                <w:rFonts w:ascii="仿宋_GB2312" w:hAnsi="宋体"/>
                <w:bCs/>
                <w:color w:val="auto"/>
                <w:sz w:val="24"/>
              </w:rPr>
              <w:t>农技推广员/农业技术推广研究员</w:t>
            </w:r>
          </w:p>
        </w:tc>
        <w:tc>
          <w:tcPr>
            <w:tcW w:w="1855" w:type="pct"/>
            <w:tcBorders>
              <w:top w:val="single" w:color="auto" w:sz="4" w:space="0"/>
              <w:left w:val="nil"/>
              <w:bottom w:val="single" w:color="auto" w:sz="4" w:space="0"/>
              <w:right w:val="single" w:color="auto" w:sz="4" w:space="0"/>
            </w:tcBorders>
            <w:vAlign w:val="center"/>
          </w:tcPr>
          <w:p w14:paraId="6AE8F255">
            <w:pPr>
              <w:ind w:firstLine="0" w:firstLineChars="0"/>
              <w:rPr>
                <w:rFonts w:hint="eastAsia" w:ascii="仿宋_GB2312"/>
                <w:color w:val="auto"/>
                <w:sz w:val="24"/>
              </w:rPr>
            </w:pPr>
            <w:r>
              <w:rPr>
                <w:rFonts w:hint="eastAsia" w:ascii="仿宋_GB2312"/>
                <w:color w:val="auto"/>
                <w:sz w:val="24"/>
              </w:rPr>
              <w:t>参与标准文本及编制说明的编写；组织开展标准征求意见会</w:t>
            </w:r>
          </w:p>
        </w:tc>
      </w:tr>
      <w:tr w14:paraId="46B8C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B5D825C">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5FE8A3F5">
            <w:pPr>
              <w:ind w:firstLine="0" w:firstLineChars="0"/>
              <w:jc w:val="center"/>
              <w:rPr>
                <w:rFonts w:ascii="仿宋_GB2312" w:hAnsi="宋体"/>
                <w:b/>
                <w:bCs/>
                <w:color w:val="auto"/>
                <w:sz w:val="24"/>
              </w:rPr>
            </w:pPr>
            <w:r>
              <w:rPr>
                <w:rFonts w:hint="eastAsia"/>
                <w:color w:val="auto"/>
                <w:sz w:val="24"/>
              </w:rPr>
              <w:t>韦玉全</w:t>
            </w:r>
          </w:p>
        </w:tc>
        <w:tc>
          <w:tcPr>
            <w:tcW w:w="1100" w:type="pct"/>
            <w:tcBorders>
              <w:top w:val="single" w:color="auto" w:sz="4" w:space="0"/>
              <w:left w:val="nil"/>
              <w:bottom w:val="single" w:color="auto" w:sz="4" w:space="0"/>
              <w:right w:val="single" w:color="auto" w:sz="4" w:space="0"/>
            </w:tcBorders>
            <w:vAlign w:val="center"/>
          </w:tcPr>
          <w:p w14:paraId="776AA16D">
            <w:pPr>
              <w:ind w:firstLine="0" w:firstLineChars="0"/>
              <w:jc w:val="left"/>
              <w:rPr>
                <w:rFonts w:hint="eastAsia" w:ascii="仿宋_GB2312" w:hAnsi="宋体" w:cs="仿宋_GB2312"/>
                <w:color w:val="auto"/>
                <w:sz w:val="24"/>
                <w:shd w:val="clear" w:color="auto" w:fill="FFFFFF"/>
              </w:rPr>
            </w:pPr>
            <w:r>
              <w:rPr>
                <w:rFonts w:hint="eastAsia" w:ascii="仿宋_GB2312" w:hAnsi="宋体" w:cs="仿宋_GB2312"/>
                <w:color w:val="auto"/>
                <w:sz w:val="24"/>
                <w:shd w:val="clear" w:color="auto" w:fill="FFFFFF"/>
              </w:rPr>
              <w:t>横州市现代农业产业园管理中心</w:t>
            </w:r>
          </w:p>
        </w:tc>
        <w:tc>
          <w:tcPr>
            <w:tcW w:w="870" w:type="pct"/>
            <w:tcBorders>
              <w:top w:val="single" w:color="auto" w:sz="4" w:space="0"/>
              <w:left w:val="nil"/>
              <w:bottom w:val="single" w:color="auto" w:sz="4" w:space="0"/>
              <w:right w:val="single" w:color="auto" w:sz="4" w:space="0"/>
            </w:tcBorders>
            <w:vAlign w:val="center"/>
          </w:tcPr>
          <w:p w14:paraId="60C37EB4">
            <w:pPr>
              <w:ind w:firstLine="0" w:firstLineChars="0"/>
              <w:jc w:val="left"/>
              <w:rPr>
                <w:rFonts w:hint="eastAsia" w:ascii="仿宋_GB2312" w:hAnsi="宋体" w:cs="仿宋_GB2312"/>
                <w:color w:val="auto"/>
                <w:sz w:val="24"/>
                <w:shd w:val="clear" w:color="auto" w:fill="FFFFFF"/>
              </w:rPr>
            </w:pPr>
            <w:r>
              <w:rPr>
                <w:rFonts w:hint="eastAsia" w:ascii="仿宋_GB2312" w:hAnsi="宋体" w:cs="仿宋_GB2312"/>
                <w:color w:val="auto"/>
                <w:sz w:val="24"/>
                <w:shd w:val="clear" w:color="auto" w:fill="FFFFFF"/>
              </w:rPr>
              <w:t>生产股股长/高级农艺师</w:t>
            </w:r>
          </w:p>
        </w:tc>
        <w:tc>
          <w:tcPr>
            <w:tcW w:w="1855" w:type="pct"/>
            <w:tcBorders>
              <w:top w:val="single" w:color="auto" w:sz="4" w:space="0"/>
              <w:left w:val="nil"/>
              <w:bottom w:val="single" w:color="auto" w:sz="4" w:space="0"/>
              <w:right w:val="single" w:color="auto" w:sz="4" w:space="0"/>
            </w:tcBorders>
            <w:vAlign w:val="center"/>
          </w:tcPr>
          <w:p w14:paraId="0F3B1515">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541F1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02AB2DD">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71625355">
            <w:pPr>
              <w:ind w:firstLine="0" w:firstLineChars="0"/>
              <w:jc w:val="center"/>
              <w:rPr>
                <w:rFonts w:ascii="仿宋_GB2312" w:hAnsi="宋体"/>
                <w:b/>
                <w:bCs/>
                <w:color w:val="auto"/>
                <w:sz w:val="24"/>
              </w:rPr>
            </w:pPr>
            <w:r>
              <w:rPr>
                <w:rFonts w:hint="eastAsia"/>
                <w:color w:val="auto"/>
                <w:sz w:val="24"/>
              </w:rPr>
              <w:t>马进森</w:t>
            </w:r>
          </w:p>
        </w:tc>
        <w:tc>
          <w:tcPr>
            <w:tcW w:w="1100" w:type="pct"/>
            <w:tcBorders>
              <w:top w:val="single" w:color="auto" w:sz="4" w:space="0"/>
              <w:left w:val="nil"/>
              <w:bottom w:val="single" w:color="auto" w:sz="4" w:space="0"/>
              <w:right w:val="single" w:color="auto" w:sz="4" w:space="0"/>
            </w:tcBorders>
            <w:vAlign w:val="center"/>
          </w:tcPr>
          <w:p w14:paraId="44077B65">
            <w:pPr>
              <w:widowControl/>
              <w:ind w:firstLine="0" w:firstLineChars="0"/>
              <w:jc w:val="left"/>
              <w:textAlignment w:val="center"/>
              <w:rPr>
                <w:rFonts w:ascii="仿宋_GB2312"/>
                <w:color w:val="auto"/>
                <w:kern w:val="0"/>
                <w:sz w:val="24"/>
              </w:rPr>
            </w:pPr>
            <w:r>
              <w:rPr>
                <w:rFonts w:hint="eastAsia" w:ascii="仿宋_GB2312"/>
                <w:color w:val="auto"/>
                <w:kern w:val="0"/>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4AB71495">
            <w:pPr>
              <w:widowControl/>
              <w:ind w:firstLine="0" w:firstLineChars="0"/>
              <w:jc w:val="left"/>
              <w:textAlignment w:val="center"/>
              <w:rPr>
                <w:rFonts w:ascii="仿宋_GB2312"/>
                <w:color w:val="auto"/>
                <w:kern w:val="0"/>
                <w:sz w:val="24"/>
              </w:rPr>
            </w:pPr>
            <w:r>
              <w:rPr>
                <w:rFonts w:hint="eastAsia" w:ascii="仿宋_GB2312"/>
                <w:color w:val="auto"/>
                <w:kern w:val="0"/>
                <w:sz w:val="24"/>
              </w:rPr>
              <w:t>产业股股长/</w:t>
            </w:r>
            <w:r>
              <w:rPr>
                <w:rFonts w:ascii="仿宋_GB2312"/>
                <w:color w:val="auto"/>
                <w:kern w:val="0"/>
                <w:sz w:val="24"/>
              </w:rPr>
              <w:t>高级农艺师</w:t>
            </w:r>
          </w:p>
        </w:tc>
        <w:tc>
          <w:tcPr>
            <w:tcW w:w="1855" w:type="pct"/>
            <w:tcBorders>
              <w:top w:val="single" w:color="auto" w:sz="4" w:space="0"/>
              <w:left w:val="nil"/>
              <w:bottom w:val="single" w:color="auto" w:sz="4" w:space="0"/>
              <w:right w:val="single" w:color="auto" w:sz="4" w:space="0"/>
            </w:tcBorders>
            <w:vAlign w:val="center"/>
          </w:tcPr>
          <w:p w14:paraId="139863E4">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16C51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EE60BE4">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4F323F59">
            <w:pPr>
              <w:ind w:firstLine="0" w:firstLineChars="0"/>
              <w:jc w:val="center"/>
              <w:rPr>
                <w:rFonts w:ascii="仿宋_GB2312" w:hAnsi="宋体"/>
                <w:b/>
                <w:bCs/>
                <w:color w:val="auto"/>
                <w:sz w:val="24"/>
              </w:rPr>
            </w:pPr>
            <w:r>
              <w:rPr>
                <w:rFonts w:hint="eastAsia"/>
                <w:color w:val="auto"/>
                <w:sz w:val="24"/>
              </w:rPr>
              <w:t>施海莉</w:t>
            </w:r>
          </w:p>
        </w:tc>
        <w:tc>
          <w:tcPr>
            <w:tcW w:w="1100" w:type="pct"/>
            <w:tcBorders>
              <w:top w:val="single" w:color="auto" w:sz="4" w:space="0"/>
              <w:left w:val="nil"/>
              <w:bottom w:val="single" w:color="auto" w:sz="4" w:space="0"/>
              <w:right w:val="single" w:color="auto" w:sz="4" w:space="0"/>
            </w:tcBorders>
            <w:vAlign w:val="center"/>
          </w:tcPr>
          <w:p w14:paraId="31ABD4F4">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横州市农业农村局</w:t>
            </w:r>
          </w:p>
        </w:tc>
        <w:tc>
          <w:tcPr>
            <w:tcW w:w="870" w:type="pct"/>
            <w:tcBorders>
              <w:top w:val="single" w:color="auto" w:sz="4" w:space="0"/>
              <w:left w:val="nil"/>
              <w:bottom w:val="single" w:color="auto" w:sz="4" w:space="0"/>
              <w:right w:val="single" w:color="auto" w:sz="4" w:space="0"/>
            </w:tcBorders>
            <w:vAlign w:val="center"/>
          </w:tcPr>
          <w:p w14:paraId="76DA6069">
            <w:pPr>
              <w:ind w:firstLine="0" w:firstLineChars="0"/>
              <w:jc w:val="left"/>
              <w:rPr>
                <w:rFonts w:ascii="宋体" w:hAnsi="宋体" w:eastAsia="宋体"/>
                <w:color w:val="auto"/>
                <w:sz w:val="24"/>
                <w:shd w:val="clear" w:color="auto" w:fill="FFFFFF"/>
              </w:rPr>
            </w:pPr>
            <w:r>
              <w:rPr>
                <w:rFonts w:hint="eastAsia" w:ascii="宋体" w:hAnsi="宋体"/>
                <w:color w:val="auto"/>
                <w:sz w:val="24"/>
                <w:shd w:val="clear" w:color="auto" w:fill="FFFFFF"/>
              </w:rPr>
              <w:t>产业股股长</w:t>
            </w:r>
          </w:p>
        </w:tc>
        <w:tc>
          <w:tcPr>
            <w:tcW w:w="1855" w:type="pct"/>
            <w:tcBorders>
              <w:top w:val="single" w:color="auto" w:sz="4" w:space="0"/>
              <w:left w:val="nil"/>
              <w:bottom w:val="single" w:color="auto" w:sz="4" w:space="0"/>
              <w:right w:val="single" w:color="auto" w:sz="4" w:space="0"/>
            </w:tcBorders>
            <w:vAlign w:val="center"/>
          </w:tcPr>
          <w:p w14:paraId="26FBF053">
            <w:pPr>
              <w:ind w:firstLine="0" w:firstLineChars="0"/>
              <w:rPr>
                <w:rFonts w:ascii="仿宋_GB2312" w:hAnsi="宋体"/>
                <w:color w:val="auto"/>
                <w:sz w:val="24"/>
              </w:rPr>
            </w:pPr>
            <w:r>
              <w:rPr>
                <w:rFonts w:hint="eastAsia" w:ascii="仿宋_GB2312"/>
                <w:color w:val="auto"/>
                <w:sz w:val="24"/>
              </w:rPr>
              <w:t>参与标准文本及编制说明的编写；组织开展标准征求意见会</w:t>
            </w:r>
          </w:p>
        </w:tc>
      </w:tr>
      <w:tr w14:paraId="2A2B1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7A409DD0">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26D53DB">
            <w:pPr>
              <w:ind w:firstLine="0" w:firstLineChars="0"/>
              <w:jc w:val="center"/>
              <w:rPr>
                <w:rFonts w:ascii="仿宋_GB2312" w:hAnsi="宋体"/>
                <w:b/>
                <w:bCs/>
                <w:color w:val="auto"/>
                <w:sz w:val="24"/>
              </w:rPr>
            </w:pPr>
            <w:bookmarkStart w:id="1" w:name="OLE_LINK4"/>
            <w:bookmarkStart w:id="2" w:name="OLE_LINK5"/>
            <w:r>
              <w:rPr>
                <w:rFonts w:hint="eastAsia"/>
                <w:color w:val="auto"/>
                <w:sz w:val="24"/>
              </w:rPr>
              <w:t>符天旺</w:t>
            </w:r>
            <w:bookmarkEnd w:id="1"/>
            <w:bookmarkEnd w:id="2"/>
          </w:p>
        </w:tc>
        <w:tc>
          <w:tcPr>
            <w:tcW w:w="1100" w:type="pct"/>
            <w:tcBorders>
              <w:top w:val="single" w:color="auto" w:sz="4" w:space="0"/>
              <w:left w:val="nil"/>
              <w:bottom w:val="single" w:color="auto" w:sz="4" w:space="0"/>
              <w:right w:val="single" w:color="auto" w:sz="4" w:space="0"/>
            </w:tcBorders>
            <w:vAlign w:val="center"/>
          </w:tcPr>
          <w:p w14:paraId="54DBFB61">
            <w:pPr>
              <w:ind w:firstLine="0" w:firstLineChars="0"/>
              <w:jc w:val="left"/>
              <w:rPr>
                <w:rFonts w:ascii="仿宋_GB2312" w:hAnsi="宋体"/>
                <w:color w:val="auto"/>
                <w:sz w:val="24"/>
              </w:rPr>
            </w:pPr>
            <w:r>
              <w:rPr>
                <w:rFonts w:ascii="仿宋_GB2312" w:hAnsi="宋体"/>
                <w:color w:val="auto"/>
                <w:sz w:val="24"/>
              </w:rPr>
              <w:t>横州市土壤肥料工作站</w:t>
            </w:r>
          </w:p>
        </w:tc>
        <w:tc>
          <w:tcPr>
            <w:tcW w:w="870" w:type="pct"/>
            <w:tcBorders>
              <w:top w:val="single" w:color="auto" w:sz="4" w:space="0"/>
              <w:left w:val="nil"/>
              <w:bottom w:val="single" w:color="auto" w:sz="4" w:space="0"/>
              <w:right w:val="single" w:color="auto" w:sz="4" w:space="0"/>
            </w:tcBorders>
            <w:vAlign w:val="center"/>
          </w:tcPr>
          <w:p w14:paraId="251B6428">
            <w:pPr>
              <w:ind w:firstLine="0" w:firstLineChars="0"/>
              <w:jc w:val="left"/>
              <w:rPr>
                <w:rFonts w:ascii="仿宋_GB2312" w:hAnsi="宋体"/>
                <w:color w:val="auto"/>
                <w:sz w:val="24"/>
              </w:rPr>
            </w:pPr>
            <w:r>
              <w:rPr>
                <w:rFonts w:ascii="仿宋_GB2312" w:hAnsi="宋体"/>
                <w:color w:val="auto"/>
                <w:sz w:val="24"/>
              </w:rPr>
              <w:t>技术员/农艺师</w:t>
            </w:r>
          </w:p>
        </w:tc>
        <w:tc>
          <w:tcPr>
            <w:tcW w:w="1855" w:type="pct"/>
            <w:tcBorders>
              <w:top w:val="single" w:color="auto" w:sz="4" w:space="0"/>
              <w:left w:val="nil"/>
              <w:bottom w:val="single" w:color="auto" w:sz="4" w:space="0"/>
              <w:right w:val="single" w:color="auto" w:sz="4" w:space="0"/>
            </w:tcBorders>
            <w:vAlign w:val="center"/>
          </w:tcPr>
          <w:p w14:paraId="2A30FB4A">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305EC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BE32A8B">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7B6BEBE3">
            <w:pPr>
              <w:ind w:firstLine="0" w:firstLineChars="0"/>
              <w:jc w:val="center"/>
              <w:rPr>
                <w:rFonts w:ascii="仿宋_GB2312" w:hAnsi="宋体"/>
                <w:b/>
                <w:bCs/>
                <w:color w:val="auto"/>
                <w:sz w:val="24"/>
              </w:rPr>
            </w:pPr>
            <w:r>
              <w:rPr>
                <w:rFonts w:hint="eastAsia"/>
                <w:color w:val="auto"/>
                <w:sz w:val="24"/>
              </w:rPr>
              <w:t>钟丽华</w:t>
            </w:r>
          </w:p>
        </w:tc>
        <w:tc>
          <w:tcPr>
            <w:tcW w:w="1100" w:type="pct"/>
            <w:tcBorders>
              <w:top w:val="single" w:color="auto" w:sz="4" w:space="0"/>
              <w:left w:val="nil"/>
              <w:bottom w:val="single" w:color="auto" w:sz="4" w:space="0"/>
              <w:right w:val="single" w:color="auto" w:sz="4" w:space="0"/>
            </w:tcBorders>
            <w:vAlign w:val="center"/>
          </w:tcPr>
          <w:p w14:paraId="7724CBFB">
            <w:pPr>
              <w:ind w:firstLine="0" w:firstLineChars="0"/>
              <w:jc w:val="left"/>
              <w:rPr>
                <w:rFonts w:ascii="仿宋_GB2312" w:hAnsi="宋体"/>
                <w:color w:val="auto"/>
                <w:sz w:val="24"/>
              </w:rPr>
            </w:pPr>
            <w:r>
              <w:rPr>
                <w:rFonts w:ascii="仿宋_GB2312" w:hAnsi="宋体"/>
                <w:color w:val="auto"/>
                <w:sz w:val="24"/>
              </w:rPr>
              <w:t>横州市农业技术推广站</w:t>
            </w:r>
          </w:p>
        </w:tc>
        <w:tc>
          <w:tcPr>
            <w:tcW w:w="870" w:type="pct"/>
            <w:tcBorders>
              <w:top w:val="single" w:color="auto" w:sz="4" w:space="0"/>
              <w:left w:val="nil"/>
              <w:bottom w:val="single" w:color="auto" w:sz="4" w:space="0"/>
              <w:right w:val="single" w:color="auto" w:sz="4" w:space="0"/>
            </w:tcBorders>
            <w:vAlign w:val="center"/>
          </w:tcPr>
          <w:p w14:paraId="5B51E46C">
            <w:pPr>
              <w:ind w:firstLine="0" w:firstLineChars="0"/>
              <w:jc w:val="left"/>
              <w:rPr>
                <w:rFonts w:ascii="仿宋_GB2312" w:hAnsi="宋体"/>
                <w:color w:val="auto"/>
                <w:sz w:val="24"/>
              </w:rPr>
            </w:pPr>
            <w:r>
              <w:rPr>
                <w:rFonts w:ascii="仿宋_GB2312" w:hAnsi="宋体"/>
                <w:color w:val="auto"/>
                <w:sz w:val="24"/>
              </w:rPr>
              <w:t>技术员/助理农艺师</w:t>
            </w:r>
          </w:p>
        </w:tc>
        <w:tc>
          <w:tcPr>
            <w:tcW w:w="1855" w:type="pct"/>
            <w:tcBorders>
              <w:top w:val="single" w:color="auto" w:sz="4" w:space="0"/>
              <w:left w:val="nil"/>
              <w:bottom w:val="single" w:color="auto" w:sz="4" w:space="0"/>
              <w:right w:val="single" w:color="auto" w:sz="4" w:space="0"/>
            </w:tcBorders>
            <w:vAlign w:val="center"/>
          </w:tcPr>
          <w:p w14:paraId="1D7DAADA">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246DF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0BA5C399">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16C69943">
            <w:pPr>
              <w:ind w:firstLine="0" w:firstLineChars="0"/>
              <w:jc w:val="center"/>
              <w:rPr>
                <w:rFonts w:ascii="仿宋_GB2312" w:hAnsi="宋体"/>
                <w:b/>
                <w:bCs/>
                <w:color w:val="auto"/>
                <w:sz w:val="24"/>
              </w:rPr>
            </w:pPr>
            <w:r>
              <w:rPr>
                <w:rFonts w:hint="eastAsia"/>
                <w:color w:val="auto"/>
                <w:sz w:val="24"/>
              </w:rPr>
              <w:t>麻春梅</w:t>
            </w:r>
          </w:p>
        </w:tc>
        <w:tc>
          <w:tcPr>
            <w:tcW w:w="1100" w:type="pct"/>
            <w:tcBorders>
              <w:top w:val="single" w:color="auto" w:sz="4" w:space="0"/>
              <w:left w:val="nil"/>
              <w:bottom w:val="single" w:color="auto" w:sz="4" w:space="0"/>
              <w:right w:val="single" w:color="auto" w:sz="4" w:space="0"/>
            </w:tcBorders>
            <w:vAlign w:val="center"/>
          </w:tcPr>
          <w:p w14:paraId="3569F2F3">
            <w:pPr>
              <w:ind w:firstLine="0" w:firstLineChars="0"/>
              <w:jc w:val="left"/>
              <w:rPr>
                <w:rFonts w:ascii="仿宋_GB2312" w:hAnsi="宋体"/>
                <w:color w:val="auto"/>
                <w:sz w:val="24"/>
              </w:rPr>
            </w:pPr>
            <w:r>
              <w:rPr>
                <w:rFonts w:ascii="仿宋_GB2312" w:hAnsi="宋体"/>
                <w:color w:val="auto"/>
                <w:sz w:val="24"/>
              </w:rPr>
              <w:t>横州市农业技术推广站</w:t>
            </w:r>
          </w:p>
        </w:tc>
        <w:tc>
          <w:tcPr>
            <w:tcW w:w="870" w:type="pct"/>
            <w:tcBorders>
              <w:top w:val="single" w:color="auto" w:sz="4" w:space="0"/>
              <w:left w:val="nil"/>
              <w:bottom w:val="single" w:color="auto" w:sz="4" w:space="0"/>
              <w:right w:val="single" w:color="auto" w:sz="4" w:space="0"/>
            </w:tcBorders>
            <w:vAlign w:val="center"/>
          </w:tcPr>
          <w:p w14:paraId="742BE5A7">
            <w:pPr>
              <w:ind w:firstLine="0" w:firstLineChars="0"/>
              <w:jc w:val="left"/>
              <w:rPr>
                <w:rFonts w:ascii="仿宋_GB2312" w:hAnsi="宋体"/>
                <w:color w:val="auto"/>
                <w:sz w:val="24"/>
              </w:rPr>
            </w:pPr>
            <w:r>
              <w:rPr>
                <w:rFonts w:ascii="仿宋_GB2312" w:hAnsi="宋体"/>
                <w:color w:val="auto"/>
                <w:sz w:val="24"/>
              </w:rPr>
              <w:t>农艺师</w:t>
            </w:r>
          </w:p>
        </w:tc>
        <w:tc>
          <w:tcPr>
            <w:tcW w:w="1855" w:type="pct"/>
            <w:tcBorders>
              <w:top w:val="single" w:color="auto" w:sz="4" w:space="0"/>
              <w:left w:val="nil"/>
              <w:bottom w:val="single" w:color="auto" w:sz="4" w:space="0"/>
              <w:right w:val="single" w:color="auto" w:sz="4" w:space="0"/>
            </w:tcBorders>
            <w:vAlign w:val="center"/>
          </w:tcPr>
          <w:p w14:paraId="5D59C6F6">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03D1F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C011B6A">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563FCC72">
            <w:pPr>
              <w:ind w:firstLine="0" w:firstLineChars="0"/>
              <w:jc w:val="center"/>
              <w:rPr>
                <w:rFonts w:ascii="仿宋_GB2312" w:hAnsi="宋体"/>
                <w:b/>
                <w:bCs/>
                <w:color w:val="auto"/>
                <w:sz w:val="24"/>
              </w:rPr>
            </w:pPr>
            <w:r>
              <w:rPr>
                <w:rFonts w:hint="eastAsia"/>
                <w:color w:val="auto"/>
                <w:sz w:val="24"/>
              </w:rPr>
              <w:t>蒙祖亨</w:t>
            </w:r>
          </w:p>
        </w:tc>
        <w:tc>
          <w:tcPr>
            <w:tcW w:w="1100" w:type="pct"/>
            <w:tcBorders>
              <w:top w:val="single" w:color="auto" w:sz="4" w:space="0"/>
              <w:left w:val="nil"/>
              <w:bottom w:val="single" w:color="auto" w:sz="4" w:space="0"/>
              <w:right w:val="single" w:color="auto" w:sz="4" w:space="0"/>
            </w:tcBorders>
            <w:vAlign w:val="center"/>
          </w:tcPr>
          <w:p w14:paraId="0078FC98">
            <w:pPr>
              <w:widowControl/>
              <w:ind w:firstLine="0" w:firstLineChars="0"/>
              <w:jc w:val="left"/>
              <w:textAlignment w:val="center"/>
              <w:rPr>
                <w:rFonts w:ascii="仿宋_GB2312"/>
                <w:color w:val="auto"/>
                <w:sz w:val="24"/>
              </w:rPr>
            </w:pPr>
            <w:r>
              <w:rPr>
                <w:rFonts w:hint="eastAsia" w:ascii="仿宋_GB2312"/>
                <w:color w:val="auto"/>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2C6CAA07">
            <w:pPr>
              <w:widowControl/>
              <w:ind w:firstLine="0" w:firstLineChars="0"/>
              <w:jc w:val="left"/>
              <w:textAlignment w:val="center"/>
              <w:rPr>
                <w:rFonts w:ascii="仿宋_GB2312"/>
                <w:color w:val="auto"/>
                <w:sz w:val="24"/>
              </w:rPr>
            </w:pPr>
            <w:r>
              <w:rPr>
                <w:rFonts w:ascii="仿宋_GB2312"/>
                <w:color w:val="auto"/>
                <w:sz w:val="24"/>
              </w:rPr>
              <w:t>农业技术员</w:t>
            </w:r>
          </w:p>
        </w:tc>
        <w:tc>
          <w:tcPr>
            <w:tcW w:w="1855" w:type="pct"/>
            <w:tcBorders>
              <w:top w:val="single" w:color="auto" w:sz="4" w:space="0"/>
              <w:left w:val="nil"/>
              <w:bottom w:val="single" w:color="auto" w:sz="4" w:space="0"/>
              <w:right w:val="single" w:color="auto" w:sz="4" w:space="0"/>
            </w:tcBorders>
            <w:vAlign w:val="center"/>
          </w:tcPr>
          <w:p w14:paraId="7B601BD6">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425C5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6B3E20AE">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33CCE1DA">
            <w:pPr>
              <w:ind w:firstLine="0" w:firstLineChars="0"/>
              <w:jc w:val="center"/>
              <w:rPr>
                <w:rFonts w:ascii="仿宋_GB2312" w:hAnsi="宋体"/>
                <w:b/>
                <w:bCs/>
                <w:color w:val="auto"/>
                <w:sz w:val="24"/>
              </w:rPr>
            </w:pPr>
            <w:r>
              <w:rPr>
                <w:rFonts w:hint="eastAsia"/>
                <w:color w:val="auto"/>
                <w:sz w:val="24"/>
              </w:rPr>
              <w:t>潘兰金</w:t>
            </w:r>
          </w:p>
        </w:tc>
        <w:tc>
          <w:tcPr>
            <w:tcW w:w="1100" w:type="pct"/>
            <w:tcBorders>
              <w:top w:val="single" w:color="auto" w:sz="4" w:space="0"/>
              <w:left w:val="nil"/>
              <w:bottom w:val="single" w:color="auto" w:sz="4" w:space="0"/>
              <w:right w:val="single" w:color="auto" w:sz="4" w:space="0"/>
            </w:tcBorders>
            <w:vAlign w:val="center"/>
          </w:tcPr>
          <w:p w14:paraId="25DCE29E">
            <w:pPr>
              <w:ind w:firstLine="0" w:firstLineChars="0"/>
              <w:jc w:val="left"/>
              <w:rPr>
                <w:rFonts w:ascii="仿宋_GB2312" w:hAnsi="宋体"/>
                <w:color w:val="auto"/>
                <w:sz w:val="24"/>
              </w:rPr>
            </w:pPr>
            <w:r>
              <w:rPr>
                <w:rFonts w:hint="eastAsia" w:ascii="仿宋_GB2312" w:hAnsi="宋体"/>
                <w:color w:val="auto"/>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400EC26F">
            <w:pPr>
              <w:ind w:firstLine="0" w:firstLineChars="0"/>
              <w:jc w:val="left"/>
              <w:rPr>
                <w:rFonts w:ascii="仿宋_GB2312" w:hAnsi="宋体"/>
                <w:color w:val="auto"/>
                <w:sz w:val="24"/>
              </w:rPr>
            </w:pPr>
            <w:r>
              <w:rPr>
                <w:rFonts w:ascii="仿宋_GB2312" w:hAnsi="宋体"/>
                <w:color w:val="auto"/>
                <w:sz w:val="24"/>
              </w:rPr>
              <w:t>中级农业经济师</w:t>
            </w:r>
          </w:p>
        </w:tc>
        <w:tc>
          <w:tcPr>
            <w:tcW w:w="1855" w:type="pct"/>
            <w:tcBorders>
              <w:top w:val="single" w:color="auto" w:sz="4" w:space="0"/>
              <w:left w:val="nil"/>
              <w:bottom w:val="single" w:color="auto" w:sz="4" w:space="0"/>
              <w:right w:val="single" w:color="auto" w:sz="4" w:space="0"/>
            </w:tcBorders>
            <w:vAlign w:val="center"/>
          </w:tcPr>
          <w:p w14:paraId="53EE8871">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61FE9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11534D25">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5FB49996">
            <w:pPr>
              <w:ind w:firstLine="0" w:firstLineChars="0"/>
              <w:jc w:val="center"/>
              <w:rPr>
                <w:color w:val="auto"/>
                <w:sz w:val="24"/>
              </w:rPr>
            </w:pPr>
            <w:r>
              <w:rPr>
                <w:rFonts w:hint="eastAsia"/>
                <w:color w:val="auto"/>
                <w:sz w:val="24"/>
              </w:rPr>
              <w:t>农丽丽</w:t>
            </w:r>
          </w:p>
        </w:tc>
        <w:tc>
          <w:tcPr>
            <w:tcW w:w="1100" w:type="pct"/>
            <w:tcBorders>
              <w:top w:val="single" w:color="auto" w:sz="4" w:space="0"/>
              <w:left w:val="nil"/>
              <w:bottom w:val="single" w:color="auto" w:sz="4" w:space="0"/>
              <w:right w:val="single" w:color="auto" w:sz="4" w:space="0"/>
            </w:tcBorders>
            <w:vAlign w:val="center"/>
          </w:tcPr>
          <w:p w14:paraId="51A88E5D">
            <w:pPr>
              <w:ind w:firstLine="0" w:firstLineChars="0"/>
              <w:jc w:val="left"/>
              <w:rPr>
                <w:rFonts w:ascii="仿宋_GB2312" w:hAnsi="宋体"/>
                <w:color w:val="auto"/>
                <w:sz w:val="24"/>
              </w:rPr>
            </w:pPr>
            <w:r>
              <w:rPr>
                <w:rFonts w:ascii="仿宋_GB2312" w:hAnsi="宋体"/>
                <w:color w:val="auto"/>
                <w:sz w:val="24"/>
              </w:rPr>
              <w:t>横州市现代农业产业园管理中心</w:t>
            </w:r>
          </w:p>
        </w:tc>
        <w:tc>
          <w:tcPr>
            <w:tcW w:w="870" w:type="pct"/>
            <w:tcBorders>
              <w:top w:val="single" w:color="auto" w:sz="4" w:space="0"/>
              <w:left w:val="nil"/>
              <w:bottom w:val="single" w:color="auto" w:sz="4" w:space="0"/>
              <w:right w:val="single" w:color="auto" w:sz="4" w:space="0"/>
            </w:tcBorders>
            <w:vAlign w:val="center"/>
          </w:tcPr>
          <w:p w14:paraId="02E0D041">
            <w:pPr>
              <w:ind w:firstLine="0" w:firstLineChars="0"/>
              <w:jc w:val="left"/>
              <w:rPr>
                <w:rFonts w:ascii="仿宋_GB2312" w:hAnsi="宋体"/>
                <w:color w:val="auto"/>
                <w:sz w:val="24"/>
              </w:rPr>
            </w:pPr>
            <w:r>
              <w:rPr>
                <w:rFonts w:ascii="仿宋_GB2312" w:hAnsi="宋体"/>
                <w:color w:val="auto"/>
                <w:sz w:val="24"/>
              </w:rPr>
              <w:t>工会主席/高级农艺师</w:t>
            </w:r>
          </w:p>
        </w:tc>
        <w:tc>
          <w:tcPr>
            <w:tcW w:w="1855" w:type="pct"/>
            <w:tcBorders>
              <w:top w:val="single" w:color="auto" w:sz="4" w:space="0"/>
              <w:left w:val="nil"/>
              <w:bottom w:val="single" w:color="auto" w:sz="4" w:space="0"/>
              <w:right w:val="single" w:color="auto" w:sz="4" w:space="0"/>
            </w:tcBorders>
            <w:vAlign w:val="center"/>
          </w:tcPr>
          <w:p w14:paraId="3C503DFA">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660D6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05985499">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5BD58BDB">
            <w:pPr>
              <w:ind w:firstLine="0" w:firstLineChars="0"/>
              <w:jc w:val="center"/>
              <w:rPr>
                <w:color w:val="auto"/>
                <w:sz w:val="24"/>
              </w:rPr>
            </w:pPr>
            <w:r>
              <w:rPr>
                <w:rFonts w:hint="eastAsia"/>
                <w:color w:val="auto"/>
                <w:sz w:val="24"/>
              </w:rPr>
              <w:t>罗玉振</w:t>
            </w:r>
          </w:p>
        </w:tc>
        <w:tc>
          <w:tcPr>
            <w:tcW w:w="1100" w:type="pct"/>
            <w:tcBorders>
              <w:top w:val="single" w:color="auto" w:sz="4" w:space="0"/>
              <w:left w:val="nil"/>
              <w:bottom w:val="single" w:color="auto" w:sz="4" w:space="0"/>
              <w:right w:val="single" w:color="auto" w:sz="4" w:space="0"/>
            </w:tcBorders>
            <w:vAlign w:val="center"/>
          </w:tcPr>
          <w:p w14:paraId="73C71FE6">
            <w:pPr>
              <w:ind w:firstLine="0" w:firstLineChars="0"/>
              <w:jc w:val="left"/>
              <w:rPr>
                <w:rFonts w:ascii="仿宋_GB2312"/>
                <w:color w:val="auto"/>
                <w:sz w:val="24"/>
              </w:rPr>
            </w:pPr>
            <w:r>
              <w:rPr>
                <w:rFonts w:hint="eastAsia" w:ascii="仿宋_GB2312"/>
                <w:color w:val="auto"/>
                <w:sz w:val="24"/>
              </w:rPr>
              <w:t>广西横州市花茶协会</w:t>
            </w:r>
          </w:p>
        </w:tc>
        <w:tc>
          <w:tcPr>
            <w:tcW w:w="870" w:type="pct"/>
            <w:tcBorders>
              <w:top w:val="single" w:color="auto" w:sz="4" w:space="0"/>
              <w:left w:val="nil"/>
              <w:bottom w:val="single" w:color="auto" w:sz="4" w:space="0"/>
              <w:right w:val="single" w:color="auto" w:sz="4" w:space="0"/>
            </w:tcBorders>
            <w:vAlign w:val="center"/>
          </w:tcPr>
          <w:p w14:paraId="25E21F02">
            <w:pPr>
              <w:ind w:firstLine="0" w:firstLineChars="0"/>
              <w:jc w:val="left"/>
              <w:rPr>
                <w:rFonts w:ascii="仿宋_GB2312"/>
                <w:color w:val="auto"/>
                <w:sz w:val="24"/>
              </w:rPr>
            </w:pPr>
            <w:r>
              <w:rPr>
                <w:rFonts w:hint="eastAsia" w:ascii="仿宋_GB2312"/>
                <w:color w:val="auto"/>
                <w:sz w:val="24"/>
              </w:rPr>
              <w:t>会长</w:t>
            </w:r>
          </w:p>
        </w:tc>
        <w:tc>
          <w:tcPr>
            <w:tcW w:w="1855" w:type="pct"/>
            <w:tcBorders>
              <w:top w:val="single" w:color="auto" w:sz="4" w:space="0"/>
              <w:left w:val="nil"/>
              <w:bottom w:val="single" w:color="auto" w:sz="4" w:space="0"/>
              <w:right w:val="single" w:color="auto" w:sz="4" w:space="0"/>
            </w:tcBorders>
            <w:vAlign w:val="center"/>
          </w:tcPr>
          <w:p w14:paraId="19B2A656">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6C1AF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CB12986">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48AD9865">
            <w:pPr>
              <w:ind w:firstLine="0" w:firstLineChars="0"/>
              <w:jc w:val="center"/>
              <w:rPr>
                <w:color w:val="auto"/>
                <w:sz w:val="24"/>
              </w:rPr>
            </w:pPr>
            <w:r>
              <w:rPr>
                <w:rFonts w:hint="eastAsia"/>
                <w:color w:val="auto"/>
                <w:sz w:val="24"/>
              </w:rPr>
              <w:t>陈道平</w:t>
            </w:r>
          </w:p>
        </w:tc>
        <w:tc>
          <w:tcPr>
            <w:tcW w:w="1100" w:type="pct"/>
            <w:tcBorders>
              <w:top w:val="single" w:color="auto" w:sz="4" w:space="0"/>
              <w:left w:val="nil"/>
              <w:bottom w:val="single" w:color="auto" w:sz="4" w:space="0"/>
              <w:right w:val="single" w:color="auto" w:sz="4" w:space="0"/>
            </w:tcBorders>
            <w:vAlign w:val="center"/>
          </w:tcPr>
          <w:p w14:paraId="1385F103">
            <w:pPr>
              <w:widowControl/>
              <w:ind w:firstLine="0" w:firstLineChars="0"/>
              <w:jc w:val="left"/>
              <w:textAlignment w:val="center"/>
              <w:rPr>
                <w:rFonts w:ascii="仿宋_GB2312"/>
                <w:color w:val="auto"/>
                <w:sz w:val="24"/>
              </w:rPr>
            </w:pPr>
            <w:r>
              <w:rPr>
                <w:rFonts w:hint="eastAsia" w:ascii="仿宋_GB2312"/>
                <w:color w:val="auto"/>
                <w:kern w:val="0"/>
                <w:sz w:val="24"/>
              </w:rPr>
              <w:t>横州市花茶协会</w:t>
            </w:r>
          </w:p>
        </w:tc>
        <w:tc>
          <w:tcPr>
            <w:tcW w:w="870" w:type="pct"/>
            <w:tcBorders>
              <w:top w:val="single" w:color="auto" w:sz="4" w:space="0"/>
              <w:left w:val="nil"/>
              <w:bottom w:val="single" w:color="auto" w:sz="4" w:space="0"/>
              <w:right w:val="single" w:color="auto" w:sz="4" w:space="0"/>
            </w:tcBorders>
            <w:vAlign w:val="center"/>
          </w:tcPr>
          <w:p w14:paraId="6EEF685D">
            <w:pPr>
              <w:widowControl/>
              <w:ind w:firstLine="0" w:firstLineChars="0"/>
              <w:jc w:val="left"/>
              <w:textAlignment w:val="center"/>
              <w:rPr>
                <w:rFonts w:ascii="仿宋_GB2312"/>
                <w:color w:val="auto"/>
                <w:sz w:val="24"/>
              </w:rPr>
            </w:pPr>
            <w:r>
              <w:rPr>
                <w:rFonts w:hint="eastAsia" w:ascii="仿宋_GB2312"/>
                <w:color w:val="auto"/>
                <w:kern w:val="0"/>
                <w:sz w:val="24"/>
              </w:rPr>
              <w:t>党总支部书记</w:t>
            </w:r>
          </w:p>
        </w:tc>
        <w:tc>
          <w:tcPr>
            <w:tcW w:w="1855" w:type="pct"/>
            <w:tcBorders>
              <w:top w:val="single" w:color="auto" w:sz="4" w:space="0"/>
              <w:left w:val="nil"/>
              <w:bottom w:val="single" w:color="auto" w:sz="4" w:space="0"/>
              <w:right w:val="single" w:color="auto" w:sz="4" w:space="0"/>
            </w:tcBorders>
            <w:vAlign w:val="center"/>
          </w:tcPr>
          <w:p w14:paraId="5B1B94E6">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0EC4D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3157AD83">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F082146">
            <w:pPr>
              <w:ind w:firstLine="0" w:firstLineChars="0"/>
              <w:jc w:val="center"/>
              <w:rPr>
                <w:color w:val="auto"/>
                <w:sz w:val="24"/>
              </w:rPr>
            </w:pPr>
            <w:r>
              <w:rPr>
                <w:rFonts w:hint="eastAsia"/>
                <w:color w:val="auto"/>
                <w:sz w:val="24"/>
              </w:rPr>
              <w:t>冯文珍</w:t>
            </w:r>
          </w:p>
        </w:tc>
        <w:tc>
          <w:tcPr>
            <w:tcW w:w="1100" w:type="pct"/>
            <w:tcBorders>
              <w:top w:val="single" w:color="auto" w:sz="4" w:space="0"/>
              <w:left w:val="nil"/>
              <w:bottom w:val="single" w:color="auto" w:sz="4" w:space="0"/>
              <w:right w:val="single" w:color="auto" w:sz="4" w:space="0"/>
            </w:tcBorders>
            <w:vAlign w:val="center"/>
          </w:tcPr>
          <w:p w14:paraId="7A0772E3">
            <w:pPr>
              <w:widowControl/>
              <w:ind w:firstLine="0" w:firstLineChars="0"/>
              <w:jc w:val="left"/>
              <w:textAlignment w:val="center"/>
              <w:rPr>
                <w:rFonts w:ascii="仿宋_GB2312"/>
                <w:color w:val="auto"/>
                <w:kern w:val="0"/>
                <w:sz w:val="24"/>
              </w:rPr>
            </w:pPr>
            <w:r>
              <w:rPr>
                <w:rFonts w:hint="eastAsia" w:ascii="仿宋_GB2312"/>
                <w:color w:val="auto"/>
                <w:kern w:val="0"/>
                <w:sz w:val="24"/>
              </w:rPr>
              <w:t>广西隆盛源茶业有限公司</w:t>
            </w:r>
          </w:p>
        </w:tc>
        <w:tc>
          <w:tcPr>
            <w:tcW w:w="870" w:type="pct"/>
            <w:tcBorders>
              <w:top w:val="single" w:color="auto" w:sz="4" w:space="0"/>
              <w:left w:val="nil"/>
              <w:bottom w:val="single" w:color="auto" w:sz="4" w:space="0"/>
              <w:right w:val="single" w:color="auto" w:sz="4" w:space="0"/>
            </w:tcBorders>
            <w:vAlign w:val="center"/>
          </w:tcPr>
          <w:p w14:paraId="4A347A41">
            <w:pPr>
              <w:widowControl/>
              <w:ind w:firstLine="0" w:firstLineChars="0"/>
              <w:jc w:val="left"/>
              <w:textAlignment w:val="center"/>
              <w:rPr>
                <w:rFonts w:ascii="仿宋_GB2312"/>
                <w:color w:val="auto"/>
                <w:kern w:val="0"/>
                <w:sz w:val="24"/>
              </w:rPr>
            </w:pPr>
            <w:r>
              <w:rPr>
                <w:rFonts w:hint="eastAsia" w:ascii="仿宋_GB2312"/>
                <w:color w:val="auto"/>
                <w:kern w:val="0"/>
                <w:sz w:val="24"/>
              </w:rPr>
              <w:t>董事长</w:t>
            </w:r>
          </w:p>
        </w:tc>
        <w:tc>
          <w:tcPr>
            <w:tcW w:w="1855" w:type="pct"/>
            <w:tcBorders>
              <w:top w:val="single" w:color="auto" w:sz="4" w:space="0"/>
              <w:left w:val="nil"/>
              <w:bottom w:val="single" w:color="auto" w:sz="4" w:space="0"/>
              <w:right w:val="single" w:color="auto" w:sz="4" w:space="0"/>
            </w:tcBorders>
            <w:vAlign w:val="center"/>
          </w:tcPr>
          <w:p w14:paraId="1AFD8E9A">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123C5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6EE00F2E">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731686CD">
            <w:pPr>
              <w:ind w:firstLine="0" w:firstLineChars="0"/>
              <w:jc w:val="center"/>
              <w:rPr>
                <w:color w:val="auto"/>
                <w:sz w:val="24"/>
              </w:rPr>
            </w:pPr>
            <w:r>
              <w:rPr>
                <w:rFonts w:hint="eastAsia"/>
                <w:color w:val="auto"/>
                <w:sz w:val="24"/>
              </w:rPr>
              <w:t>黄荣新</w:t>
            </w:r>
          </w:p>
        </w:tc>
        <w:tc>
          <w:tcPr>
            <w:tcW w:w="1100" w:type="pct"/>
            <w:tcBorders>
              <w:top w:val="single" w:color="auto" w:sz="4" w:space="0"/>
              <w:left w:val="nil"/>
              <w:bottom w:val="single" w:color="auto" w:sz="4" w:space="0"/>
              <w:right w:val="single" w:color="auto" w:sz="4" w:space="0"/>
            </w:tcBorders>
            <w:vAlign w:val="center"/>
          </w:tcPr>
          <w:p w14:paraId="77AEE305">
            <w:pPr>
              <w:widowControl/>
              <w:ind w:firstLine="0" w:firstLineChars="0"/>
              <w:jc w:val="left"/>
              <w:textAlignment w:val="center"/>
              <w:rPr>
                <w:rFonts w:ascii="仿宋_GB2312"/>
                <w:color w:val="auto"/>
                <w:kern w:val="0"/>
                <w:sz w:val="24"/>
              </w:rPr>
            </w:pPr>
            <w:r>
              <w:rPr>
                <w:rFonts w:hint="eastAsia" w:ascii="仿宋_GB2312"/>
                <w:color w:val="auto"/>
                <w:kern w:val="0"/>
                <w:sz w:val="24"/>
              </w:rPr>
              <w:t>广西壮族自治区横县郁江茶厂</w:t>
            </w:r>
          </w:p>
        </w:tc>
        <w:tc>
          <w:tcPr>
            <w:tcW w:w="870" w:type="pct"/>
            <w:tcBorders>
              <w:top w:val="single" w:color="auto" w:sz="4" w:space="0"/>
              <w:left w:val="nil"/>
              <w:bottom w:val="single" w:color="auto" w:sz="4" w:space="0"/>
              <w:right w:val="single" w:color="auto" w:sz="4" w:space="0"/>
            </w:tcBorders>
            <w:vAlign w:val="center"/>
          </w:tcPr>
          <w:p w14:paraId="538662A2">
            <w:pPr>
              <w:widowControl/>
              <w:ind w:firstLine="0" w:firstLineChars="0"/>
              <w:jc w:val="left"/>
              <w:textAlignment w:val="center"/>
              <w:rPr>
                <w:rFonts w:ascii="仿宋_GB2312"/>
                <w:color w:val="auto"/>
                <w:kern w:val="0"/>
                <w:sz w:val="24"/>
              </w:rPr>
            </w:pPr>
            <w:r>
              <w:rPr>
                <w:rFonts w:ascii="仿宋_GB2312"/>
                <w:color w:val="auto"/>
                <w:kern w:val="0"/>
                <w:sz w:val="24"/>
              </w:rPr>
              <w:t>厂长</w:t>
            </w:r>
          </w:p>
        </w:tc>
        <w:tc>
          <w:tcPr>
            <w:tcW w:w="1855" w:type="pct"/>
            <w:tcBorders>
              <w:top w:val="single" w:color="auto" w:sz="4" w:space="0"/>
              <w:left w:val="nil"/>
              <w:bottom w:val="single" w:color="auto" w:sz="4" w:space="0"/>
              <w:right w:val="single" w:color="auto" w:sz="4" w:space="0"/>
            </w:tcBorders>
            <w:vAlign w:val="center"/>
          </w:tcPr>
          <w:p w14:paraId="34E001AF">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44BCF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39307EC1">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0D631B04">
            <w:pPr>
              <w:ind w:firstLine="0" w:firstLineChars="0"/>
              <w:jc w:val="center"/>
              <w:rPr>
                <w:color w:val="auto"/>
                <w:sz w:val="24"/>
              </w:rPr>
            </w:pPr>
            <w:r>
              <w:rPr>
                <w:rFonts w:hint="eastAsia"/>
                <w:color w:val="auto"/>
                <w:sz w:val="24"/>
              </w:rPr>
              <w:t>黄其祥</w:t>
            </w:r>
          </w:p>
        </w:tc>
        <w:tc>
          <w:tcPr>
            <w:tcW w:w="1100" w:type="pct"/>
            <w:tcBorders>
              <w:top w:val="single" w:color="auto" w:sz="4" w:space="0"/>
              <w:left w:val="nil"/>
              <w:bottom w:val="single" w:color="auto" w:sz="4" w:space="0"/>
              <w:right w:val="single" w:color="auto" w:sz="4" w:space="0"/>
            </w:tcBorders>
            <w:vAlign w:val="center"/>
          </w:tcPr>
          <w:p w14:paraId="4F1635E3">
            <w:pPr>
              <w:widowControl/>
              <w:ind w:firstLine="0" w:firstLineChars="0"/>
              <w:jc w:val="left"/>
              <w:textAlignment w:val="center"/>
              <w:rPr>
                <w:rFonts w:ascii="仿宋_GB2312"/>
                <w:color w:val="auto"/>
                <w:kern w:val="0"/>
                <w:sz w:val="24"/>
              </w:rPr>
            </w:pPr>
            <w:r>
              <w:rPr>
                <w:rFonts w:hint="eastAsia" w:ascii="仿宋_GB2312"/>
                <w:color w:val="auto"/>
                <w:kern w:val="0"/>
                <w:sz w:val="24"/>
              </w:rPr>
              <w:t>广西祥园茗品茶业有限公司</w:t>
            </w:r>
          </w:p>
        </w:tc>
        <w:tc>
          <w:tcPr>
            <w:tcW w:w="870" w:type="pct"/>
            <w:tcBorders>
              <w:top w:val="single" w:color="auto" w:sz="4" w:space="0"/>
              <w:left w:val="nil"/>
              <w:bottom w:val="single" w:color="auto" w:sz="4" w:space="0"/>
              <w:right w:val="single" w:color="auto" w:sz="4" w:space="0"/>
            </w:tcBorders>
            <w:vAlign w:val="center"/>
          </w:tcPr>
          <w:p w14:paraId="35434148">
            <w:pPr>
              <w:widowControl/>
              <w:ind w:firstLine="0" w:firstLineChars="0"/>
              <w:jc w:val="left"/>
              <w:textAlignment w:val="center"/>
              <w:rPr>
                <w:rFonts w:ascii="仿宋_GB2312"/>
                <w:color w:val="auto"/>
                <w:kern w:val="0"/>
                <w:sz w:val="24"/>
              </w:rPr>
            </w:pPr>
            <w:r>
              <w:rPr>
                <w:rFonts w:hint="eastAsia" w:ascii="仿宋_GB2312"/>
                <w:color w:val="auto"/>
                <w:kern w:val="0"/>
                <w:sz w:val="24"/>
              </w:rPr>
              <w:t>董事长</w:t>
            </w:r>
          </w:p>
        </w:tc>
        <w:tc>
          <w:tcPr>
            <w:tcW w:w="1855" w:type="pct"/>
            <w:tcBorders>
              <w:top w:val="single" w:color="auto" w:sz="4" w:space="0"/>
              <w:left w:val="nil"/>
              <w:bottom w:val="single" w:color="auto" w:sz="4" w:space="0"/>
              <w:right w:val="single" w:color="auto" w:sz="4" w:space="0"/>
            </w:tcBorders>
            <w:vAlign w:val="center"/>
          </w:tcPr>
          <w:p w14:paraId="05091119">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3A074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1"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6D052B3">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2237A173">
            <w:pPr>
              <w:ind w:firstLine="0" w:firstLineChars="0"/>
              <w:jc w:val="center"/>
              <w:rPr>
                <w:color w:val="auto"/>
                <w:sz w:val="24"/>
              </w:rPr>
            </w:pPr>
            <w:r>
              <w:rPr>
                <w:rFonts w:hint="eastAsia"/>
                <w:color w:val="auto"/>
                <w:sz w:val="24"/>
              </w:rPr>
              <w:t>闭景攀</w:t>
            </w:r>
          </w:p>
        </w:tc>
        <w:tc>
          <w:tcPr>
            <w:tcW w:w="1100" w:type="pct"/>
            <w:tcBorders>
              <w:top w:val="single" w:color="auto" w:sz="4" w:space="0"/>
              <w:left w:val="nil"/>
              <w:bottom w:val="single" w:color="auto" w:sz="4" w:space="0"/>
              <w:right w:val="single" w:color="auto" w:sz="4" w:space="0"/>
            </w:tcBorders>
            <w:vAlign w:val="center"/>
          </w:tcPr>
          <w:p w14:paraId="0D94590A">
            <w:pPr>
              <w:ind w:firstLine="0" w:firstLineChars="0"/>
              <w:jc w:val="left"/>
              <w:rPr>
                <w:rFonts w:ascii="仿宋_GB2312" w:hAnsi="宋体"/>
                <w:color w:val="auto"/>
                <w:sz w:val="24"/>
              </w:rPr>
            </w:pPr>
            <w:r>
              <w:rPr>
                <w:rFonts w:ascii="仿宋_GB2312" w:hAnsi="宋体"/>
                <w:color w:val="auto"/>
                <w:sz w:val="24"/>
              </w:rPr>
              <w:t>横州市杰龙茶厂</w:t>
            </w:r>
          </w:p>
        </w:tc>
        <w:tc>
          <w:tcPr>
            <w:tcW w:w="870" w:type="pct"/>
            <w:tcBorders>
              <w:top w:val="single" w:color="auto" w:sz="4" w:space="0"/>
              <w:left w:val="nil"/>
              <w:bottom w:val="single" w:color="auto" w:sz="4" w:space="0"/>
              <w:right w:val="single" w:color="auto" w:sz="4" w:space="0"/>
            </w:tcBorders>
            <w:vAlign w:val="center"/>
          </w:tcPr>
          <w:p w14:paraId="48C3AC58">
            <w:pPr>
              <w:ind w:firstLine="0" w:firstLineChars="0"/>
              <w:jc w:val="left"/>
              <w:rPr>
                <w:rFonts w:ascii="仿宋_GB2312" w:hAnsi="宋体"/>
                <w:color w:val="auto"/>
                <w:sz w:val="24"/>
              </w:rPr>
            </w:pPr>
            <w:r>
              <w:rPr>
                <w:rFonts w:ascii="仿宋_GB2312" w:hAnsi="宋体"/>
                <w:color w:val="auto"/>
                <w:sz w:val="24"/>
              </w:rPr>
              <w:t>厂长</w:t>
            </w:r>
          </w:p>
        </w:tc>
        <w:tc>
          <w:tcPr>
            <w:tcW w:w="1855" w:type="pct"/>
            <w:tcBorders>
              <w:top w:val="single" w:color="auto" w:sz="4" w:space="0"/>
              <w:left w:val="nil"/>
              <w:bottom w:val="single" w:color="auto" w:sz="4" w:space="0"/>
              <w:right w:val="single" w:color="auto" w:sz="4" w:space="0"/>
            </w:tcBorders>
            <w:vAlign w:val="center"/>
          </w:tcPr>
          <w:p w14:paraId="4264289D">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244E6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18A7F01F">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2F4FC254">
            <w:pPr>
              <w:ind w:firstLine="0" w:firstLineChars="0"/>
              <w:jc w:val="center"/>
              <w:rPr>
                <w:color w:val="auto"/>
                <w:sz w:val="24"/>
              </w:rPr>
            </w:pPr>
            <w:r>
              <w:rPr>
                <w:rFonts w:hint="eastAsia"/>
                <w:color w:val="auto"/>
                <w:sz w:val="24"/>
              </w:rPr>
              <w:t>韦宏胜</w:t>
            </w:r>
          </w:p>
        </w:tc>
        <w:tc>
          <w:tcPr>
            <w:tcW w:w="1100" w:type="pct"/>
            <w:tcBorders>
              <w:top w:val="single" w:color="auto" w:sz="4" w:space="0"/>
              <w:left w:val="nil"/>
              <w:bottom w:val="single" w:color="auto" w:sz="4" w:space="0"/>
              <w:right w:val="single" w:color="auto" w:sz="4" w:space="0"/>
            </w:tcBorders>
            <w:vAlign w:val="center"/>
          </w:tcPr>
          <w:p w14:paraId="331D7226">
            <w:pPr>
              <w:widowControl/>
              <w:kinsoku w:val="0"/>
              <w:autoSpaceDE w:val="0"/>
              <w:autoSpaceDN w:val="0"/>
              <w:adjustRightInd w:val="0"/>
              <w:snapToGrid w:val="0"/>
              <w:ind w:firstLine="0" w:firstLineChars="0"/>
              <w:jc w:val="left"/>
              <w:textAlignment w:val="baseline"/>
              <w:rPr>
                <w:rFonts w:ascii="仿宋_GB2312"/>
                <w:color w:val="auto"/>
                <w:kern w:val="0"/>
                <w:sz w:val="24"/>
              </w:rPr>
            </w:pPr>
            <w:r>
              <w:rPr>
                <w:rFonts w:hint="eastAsia" w:ascii="仿宋_GB2312"/>
                <w:color w:val="auto"/>
                <w:kern w:val="0"/>
                <w:sz w:val="24"/>
              </w:rPr>
              <w:t>横县桔扬茶业有限公司</w:t>
            </w:r>
          </w:p>
        </w:tc>
        <w:tc>
          <w:tcPr>
            <w:tcW w:w="870" w:type="pct"/>
            <w:tcBorders>
              <w:top w:val="single" w:color="auto" w:sz="4" w:space="0"/>
              <w:left w:val="nil"/>
              <w:bottom w:val="single" w:color="auto" w:sz="4" w:space="0"/>
              <w:right w:val="single" w:color="auto" w:sz="4" w:space="0"/>
            </w:tcBorders>
            <w:vAlign w:val="center"/>
          </w:tcPr>
          <w:p w14:paraId="684F6A39">
            <w:pPr>
              <w:widowControl/>
              <w:kinsoku w:val="0"/>
              <w:autoSpaceDE w:val="0"/>
              <w:autoSpaceDN w:val="0"/>
              <w:adjustRightInd w:val="0"/>
              <w:snapToGrid w:val="0"/>
              <w:ind w:firstLine="0" w:firstLineChars="0"/>
              <w:jc w:val="left"/>
              <w:textAlignment w:val="baseline"/>
              <w:rPr>
                <w:rFonts w:ascii="仿宋_GB2312"/>
                <w:color w:val="auto"/>
                <w:kern w:val="0"/>
                <w:sz w:val="24"/>
              </w:rPr>
            </w:pPr>
            <w:r>
              <w:rPr>
                <w:rFonts w:hint="eastAsia" w:ascii="仿宋_GB2312"/>
                <w:color w:val="auto"/>
                <w:kern w:val="0"/>
                <w:sz w:val="24"/>
              </w:rPr>
              <w:t>质量总监</w:t>
            </w:r>
          </w:p>
        </w:tc>
        <w:tc>
          <w:tcPr>
            <w:tcW w:w="1855" w:type="pct"/>
            <w:tcBorders>
              <w:top w:val="single" w:color="auto" w:sz="4" w:space="0"/>
              <w:left w:val="nil"/>
              <w:bottom w:val="single" w:color="auto" w:sz="4" w:space="0"/>
              <w:right w:val="single" w:color="auto" w:sz="4" w:space="0"/>
            </w:tcBorders>
            <w:vAlign w:val="center"/>
          </w:tcPr>
          <w:p w14:paraId="1A2A45D5">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7A896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F581E3B">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00D85A53">
            <w:pPr>
              <w:ind w:firstLine="0" w:firstLineChars="0"/>
              <w:jc w:val="center"/>
              <w:rPr>
                <w:color w:val="auto"/>
                <w:sz w:val="24"/>
              </w:rPr>
            </w:pPr>
            <w:r>
              <w:rPr>
                <w:rFonts w:hint="eastAsia"/>
                <w:color w:val="auto"/>
                <w:sz w:val="24"/>
              </w:rPr>
              <w:t>雷顺新</w:t>
            </w:r>
          </w:p>
        </w:tc>
        <w:tc>
          <w:tcPr>
            <w:tcW w:w="1100" w:type="pct"/>
            <w:tcBorders>
              <w:top w:val="single" w:color="auto" w:sz="4" w:space="0"/>
              <w:left w:val="nil"/>
              <w:bottom w:val="single" w:color="auto" w:sz="4" w:space="0"/>
              <w:right w:val="single" w:color="auto" w:sz="4" w:space="0"/>
            </w:tcBorders>
            <w:vAlign w:val="center"/>
          </w:tcPr>
          <w:p w14:paraId="1557E2B4">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00126395">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中心主任/高级工程师</w:t>
            </w:r>
          </w:p>
        </w:tc>
        <w:tc>
          <w:tcPr>
            <w:tcW w:w="1855" w:type="pct"/>
            <w:tcBorders>
              <w:top w:val="single" w:color="auto" w:sz="4" w:space="0"/>
              <w:left w:val="nil"/>
              <w:bottom w:val="single" w:color="auto" w:sz="4" w:space="0"/>
              <w:right w:val="single" w:color="auto" w:sz="4" w:space="0"/>
            </w:tcBorders>
            <w:vAlign w:val="center"/>
          </w:tcPr>
          <w:p w14:paraId="4D22E400">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47786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67852729">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1F77A97A">
            <w:pPr>
              <w:ind w:firstLine="0" w:firstLineChars="0"/>
              <w:jc w:val="center"/>
              <w:rPr>
                <w:color w:val="auto"/>
                <w:sz w:val="24"/>
              </w:rPr>
            </w:pPr>
            <w:r>
              <w:rPr>
                <w:rFonts w:hint="eastAsia"/>
                <w:color w:val="auto"/>
                <w:sz w:val="24"/>
              </w:rPr>
              <w:t>周先武</w:t>
            </w:r>
          </w:p>
        </w:tc>
        <w:tc>
          <w:tcPr>
            <w:tcW w:w="1100" w:type="pct"/>
            <w:tcBorders>
              <w:top w:val="single" w:color="auto" w:sz="4" w:space="0"/>
              <w:left w:val="nil"/>
              <w:bottom w:val="single" w:color="auto" w:sz="4" w:space="0"/>
              <w:right w:val="single" w:color="auto" w:sz="4" w:space="0"/>
            </w:tcBorders>
            <w:vAlign w:val="center"/>
          </w:tcPr>
          <w:p w14:paraId="6A633B86">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57BA9FC3">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中心副主任/工程师</w:t>
            </w:r>
          </w:p>
        </w:tc>
        <w:tc>
          <w:tcPr>
            <w:tcW w:w="1855" w:type="pct"/>
            <w:tcBorders>
              <w:top w:val="single" w:color="auto" w:sz="4" w:space="0"/>
              <w:left w:val="nil"/>
              <w:bottom w:val="single" w:color="auto" w:sz="4" w:space="0"/>
              <w:right w:val="single" w:color="auto" w:sz="4" w:space="0"/>
            </w:tcBorders>
            <w:vAlign w:val="center"/>
          </w:tcPr>
          <w:p w14:paraId="043F5F7F">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7FF6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3D6AFCB">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79DE1768">
            <w:pPr>
              <w:ind w:firstLine="0" w:firstLineChars="0"/>
              <w:jc w:val="center"/>
              <w:rPr>
                <w:color w:val="auto"/>
                <w:sz w:val="24"/>
              </w:rPr>
            </w:pPr>
            <w:r>
              <w:rPr>
                <w:rFonts w:hint="eastAsia"/>
                <w:color w:val="auto"/>
                <w:sz w:val="24"/>
              </w:rPr>
              <w:t>赵丽云</w:t>
            </w:r>
          </w:p>
        </w:tc>
        <w:tc>
          <w:tcPr>
            <w:tcW w:w="1100" w:type="pct"/>
            <w:tcBorders>
              <w:top w:val="single" w:color="auto" w:sz="4" w:space="0"/>
              <w:left w:val="nil"/>
              <w:bottom w:val="single" w:color="auto" w:sz="4" w:space="0"/>
              <w:right w:val="single" w:color="auto" w:sz="4" w:space="0"/>
            </w:tcBorders>
            <w:vAlign w:val="center"/>
          </w:tcPr>
          <w:p w14:paraId="5125D4C4">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31899A1F">
            <w:pPr>
              <w:ind w:firstLine="0" w:firstLineChars="0"/>
              <w:jc w:val="left"/>
              <w:rPr>
                <w:rFonts w:hint="eastAsia" w:ascii="仿宋_GB2312" w:hAnsi="宋体"/>
                <w:bCs/>
                <w:color w:val="auto"/>
                <w:kern w:val="0"/>
                <w:sz w:val="24"/>
              </w:rPr>
            </w:pPr>
            <w:r>
              <w:rPr>
                <w:rFonts w:hint="eastAsia" w:ascii="仿宋_GB2312" w:hAnsi="宋体"/>
                <w:bCs/>
                <w:color w:val="auto"/>
                <w:kern w:val="0"/>
                <w:sz w:val="24"/>
              </w:rPr>
              <w:t>理化组组长/中级执业药师</w:t>
            </w:r>
          </w:p>
        </w:tc>
        <w:tc>
          <w:tcPr>
            <w:tcW w:w="1855" w:type="pct"/>
            <w:tcBorders>
              <w:top w:val="single" w:color="auto" w:sz="4" w:space="0"/>
              <w:left w:val="nil"/>
              <w:bottom w:val="single" w:color="auto" w:sz="4" w:space="0"/>
              <w:right w:val="single" w:color="auto" w:sz="4" w:space="0"/>
            </w:tcBorders>
            <w:vAlign w:val="center"/>
          </w:tcPr>
          <w:p w14:paraId="0CE50130">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49D1B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4243E8FD">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351CFF15">
            <w:pPr>
              <w:ind w:firstLine="0" w:firstLineChars="0"/>
              <w:jc w:val="center"/>
              <w:rPr>
                <w:color w:val="auto"/>
                <w:sz w:val="24"/>
              </w:rPr>
            </w:pPr>
            <w:r>
              <w:rPr>
                <w:rFonts w:hint="eastAsia"/>
                <w:color w:val="auto"/>
                <w:sz w:val="24"/>
              </w:rPr>
              <w:t>陈秋暖</w:t>
            </w:r>
          </w:p>
        </w:tc>
        <w:tc>
          <w:tcPr>
            <w:tcW w:w="1100" w:type="pct"/>
            <w:tcBorders>
              <w:top w:val="single" w:color="auto" w:sz="4" w:space="0"/>
              <w:left w:val="nil"/>
              <w:bottom w:val="single" w:color="auto" w:sz="4" w:space="0"/>
              <w:right w:val="single" w:color="auto" w:sz="4" w:space="0"/>
            </w:tcBorders>
            <w:vAlign w:val="center"/>
          </w:tcPr>
          <w:p w14:paraId="6605C6AC">
            <w:pPr>
              <w:ind w:firstLine="0" w:firstLineChars="0"/>
              <w:jc w:val="left"/>
              <w:rPr>
                <w:rFonts w:ascii="宋体" w:hAnsi="宋体"/>
                <w:color w:val="auto"/>
                <w:sz w:val="24"/>
                <w:shd w:val="clear" w:color="auto" w:fill="FFFFFF"/>
                <w:lang w:val="en-US" w:eastAsia="zh-CN"/>
              </w:rPr>
            </w:pPr>
            <w:r>
              <w:rPr>
                <w:rFonts w:hint="eastAsia" w:ascii="宋体" w:hAnsi="宋体"/>
                <w:color w:val="auto"/>
                <w:sz w:val="24"/>
                <w:shd w:val="clear" w:color="auto" w:fill="FFFFFF"/>
                <w:lang w:val="en-US" w:eastAsia="zh-CN"/>
              </w:rPr>
              <w:t>横州市</w:t>
            </w:r>
            <w:r>
              <w:rPr>
                <w:rFonts w:hint="eastAsia" w:ascii="宋体" w:hAnsi="宋体"/>
                <w:color w:val="auto"/>
                <w:sz w:val="24"/>
                <w:shd w:val="clear" w:color="auto" w:fill="FFFFFF"/>
              </w:rPr>
              <w:t>植物</w:t>
            </w:r>
            <w:r>
              <w:rPr>
                <w:rFonts w:hint="eastAsia" w:ascii="宋体" w:hAnsi="宋体"/>
                <w:color w:val="auto"/>
                <w:sz w:val="24"/>
                <w:shd w:val="clear" w:color="auto" w:fill="FFFFFF"/>
                <w:lang w:val="en-US" w:eastAsia="zh-CN"/>
              </w:rPr>
              <w:t>保护站</w:t>
            </w:r>
          </w:p>
        </w:tc>
        <w:tc>
          <w:tcPr>
            <w:tcW w:w="870" w:type="pct"/>
            <w:tcBorders>
              <w:top w:val="single" w:color="auto" w:sz="4" w:space="0"/>
              <w:left w:val="nil"/>
              <w:bottom w:val="single" w:color="auto" w:sz="4" w:space="0"/>
              <w:right w:val="single" w:color="auto" w:sz="4" w:space="0"/>
            </w:tcBorders>
            <w:vAlign w:val="center"/>
          </w:tcPr>
          <w:p w14:paraId="76347A34">
            <w:pPr>
              <w:ind w:firstLine="0" w:firstLineChars="0"/>
              <w:jc w:val="left"/>
              <w:rPr>
                <w:rFonts w:hint="eastAsia" w:ascii="宋体" w:hAnsi="宋体"/>
                <w:color w:val="auto"/>
                <w:sz w:val="24"/>
                <w:shd w:val="clear" w:color="auto" w:fill="FFFFFF"/>
                <w:lang w:val="en-US" w:eastAsia="zh-CN"/>
              </w:rPr>
            </w:pPr>
            <w:r>
              <w:rPr>
                <w:rFonts w:hint="eastAsia" w:ascii="宋体" w:hAnsi="宋体"/>
                <w:color w:val="auto"/>
                <w:sz w:val="24"/>
                <w:shd w:val="clear" w:color="auto" w:fill="FFFFFF"/>
                <w:lang w:val="en-US" w:eastAsia="zh-CN"/>
              </w:rPr>
              <w:t>站长</w:t>
            </w:r>
          </w:p>
        </w:tc>
        <w:tc>
          <w:tcPr>
            <w:tcW w:w="1855" w:type="pct"/>
            <w:tcBorders>
              <w:top w:val="single" w:color="auto" w:sz="4" w:space="0"/>
              <w:left w:val="nil"/>
              <w:bottom w:val="single" w:color="auto" w:sz="4" w:space="0"/>
              <w:right w:val="single" w:color="auto" w:sz="4" w:space="0"/>
            </w:tcBorders>
            <w:vAlign w:val="center"/>
          </w:tcPr>
          <w:p w14:paraId="19AB7D3A">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7C6BE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3D110253">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79EA791">
            <w:pPr>
              <w:ind w:firstLine="0" w:firstLineChars="0"/>
              <w:jc w:val="center"/>
              <w:rPr>
                <w:color w:val="auto"/>
                <w:sz w:val="24"/>
              </w:rPr>
            </w:pPr>
            <w:r>
              <w:rPr>
                <w:rFonts w:hint="eastAsia"/>
                <w:color w:val="auto"/>
                <w:sz w:val="24"/>
              </w:rPr>
              <w:t>林琳</w:t>
            </w:r>
          </w:p>
        </w:tc>
        <w:tc>
          <w:tcPr>
            <w:tcW w:w="1100" w:type="pct"/>
            <w:tcBorders>
              <w:top w:val="single" w:color="auto" w:sz="4" w:space="0"/>
              <w:left w:val="nil"/>
              <w:bottom w:val="single" w:color="auto" w:sz="4" w:space="0"/>
              <w:right w:val="single" w:color="auto" w:sz="4" w:space="0"/>
            </w:tcBorders>
            <w:vAlign w:val="center"/>
          </w:tcPr>
          <w:p w14:paraId="72F000EE">
            <w:pPr>
              <w:ind w:firstLine="0" w:firstLineChars="0"/>
              <w:jc w:val="left"/>
              <w:rPr>
                <w:rFonts w:hint="eastAsia" w:ascii="宋体" w:hAnsi="宋体"/>
                <w:bCs/>
                <w:color w:val="auto"/>
                <w:sz w:val="24"/>
                <w:shd w:val="clear" w:color="auto" w:fill="FFFFFF"/>
              </w:rPr>
            </w:pPr>
            <w:r>
              <w:rPr>
                <w:rFonts w:hint="eastAsia" w:ascii="宋体" w:hAnsi="宋体"/>
                <w:bCs/>
                <w:color w:val="auto"/>
                <w:sz w:val="24"/>
                <w:shd w:val="clear" w:color="auto" w:fill="FFFFFF"/>
              </w:rPr>
              <w:t>横州市植物保护站</w:t>
            </w:r>
          </w:p>
        </w:tc>
        <w:tc>
          <w:tcPr>
            <w:tcW w:w="870" w:type="pct"/>
            <w:tcBorders>
              <w:top w:val="single" w:color="auto" w:sz="4" w:space="0"/>
              <w:left w:val="nil"/>
              <w:bottom w:val="single" w:color="auto" w:sz="4" w:space="0"/>
              <w:right w:val="single" w:color="auto" w:sz="4" w:space="0"/>
            </w:tcBorders>
            <w:vAlign w:val="center"/>
          </w:tcPr>
          <w:p w14:paraId="5E79C65C">
            <w:pPr>
              <w:ind w:firstLine="0" w:firstLineChars="0"/>
              <w:jc w:val="left"/>
              <w:rPr>
                <w:rFonts w:hint="eastAsia" w:ascii="宋体" w:hAnsi="宋体"/>
                <w:bCs/>
                <w:color w:val="auto"/>
                <w:sz w:val="24"/>
                <w:shd w:val="clear" w:color="auto" w:fill="FFFFFF"/>
              </w:rPr>
            </w:pPr>
            <w:r>
              <w:rPr>
                <w:rFonts w:hint="eastAsia" w:ascii="宋体" w:hAnsi="宋体"/>
                <w:color w:val="auto"/>
                <w:sz w:val="24"/>
                <w:shd w:val="clear" w:color="auto" w:fill="FFFFFF"/>
              </w:rPr>
              <w:t>农艺师</w:t>
            </w:r>
          </w:p>
        </w:tc>
        <w:tc>
          <w:tcPr>
            <w:tcW w:w="1855" w:type="pct"/>
            <w:tcBorders>
              <w:top w:val="single" w:color="auto" w:sz="4" w:space="0"/>
              <w:left w:val="nil"/>
              <w:bottom w:val="single" w:color="auto" w:sz="4" w:space="0"/>
              <w:right w:val="single" w:color="auto" w:sz="4" w:space="0"/>
            </w:tcBorders>
            <w:vAlign w:val="center"/>
          </w:tcPr>
          <w:p w14:paraId="16309A90">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6C12A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58CBE6F2">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46B21A18">
            <w:pPr>
              <w:ind w:firstLine="0" w:firstLineChars="0"/>
              <w:jc w:val="center"/>
              <w:rPr>
                <w:color w:val="auto"/>
                <w:sz w:val="24"/>
              </w:rPr>
            </w:pPr>
            <w:r>
              <w:rPr>
                <w:rFonts w:hint="eastAsia"/>
                <w:color w:val="auto"/>
                <w:sz w:val="24"/>
              </w:rPr>
              <w:t>范少飞</w:t>
            </w:r>
          </w:p>
        </w:tc>
        <w:tc>
          <w:tcPr>
            <w:tcW w:w="1100" w:type="pct"/>
            <w:tcBorders>
              <w:top w:val="single" w:color="auto" w:sz="4" w:space="0"/>
              <w:left w:val="nil"/>
              <w:bottom w:val="single" w:color="auto" w:sz="4" w:space="0"/>
              <w:right w:val="single" w:color="auto" w:sz="4" w:space="0"/>
            </w:tcBorders>
            <w:vAlign w:val="center"/>
          </w:tcPr>
          <w:p w14:paraId="15AB0DEE">
            <w:pPr>
              <w:ind w:firstLine="0" w:firstLineChars="0"/>
              <w:jc w:val="left"/>
              <w:rPr>
                <w:rFonts w:hint="eastAsia" w:ascii="宋体" w:hAnsi="宋体"/>
                <w:bCs/>
                <w:color w:val="auto"/>
                <w:sz w:val="24"/>
                <w:shd w:val="clear" w:color="auto" w:fill="FFFFFF"/>
              </w:rPr>
            </w:pPr>
            <w:r>
              <w:rPr>
                <w:rFonts w:ascii="仿宋_GB2312" w:hAnsi="宋体"/>
                <w:color w:val="auto"/>
                <w:sz w:val="24"/>
              </w:rPr>
              <w:t>横州市土壤肥料工作站</w:t>
            </w:r>
          </w:p>
        </w:tc>
        <w:tc>
          <w:tcPr>
            <w:tcW w:w="870" w:type="pct"/>
            <w:tcBorders>
              <w:top w:val="single" w:color="auto" w:sz="4" w:space="0"/>
              <w:left w:val="nil"/>
              <w:bottom w:val="single" w:color="auto" w:sz="4" w:space="0"/>
              <w:right w:val="single" w:color="auto" w:sz="4" w:space="0"/>
            </w:tcBorders>
            <w:vAlign w:val="center"/>
          </w:tcPr>
          <w:p w14:paraId="5D018DBB">
            <w:pPr>
              <w:ind w:firstLine="0" w:firstLineChars="0"/>
              <w:jc w:val="left"/>
              <w:rPr>
                <w:rFonts w:hint="eastAsia" w:ascii="宋体" w:hAnsi="宋体"/>
                <w:bCs/>
                <w:color w:val="auto"/>
                <w:sz w:val="24"/>
                <w:shd w:val="clear" w:color="auto" w:fill="FFFFFF"/>
              </w:rPr>
            </w:pPr>
            <w:r>
              <w:rPr>
                <w:rFonts w:ascii="宋体" w:hAnsi="宋体"/>
                <w:bCs/>
                <w:color w:val="auto"/>
                <w:sz w:val="24"/>
                <w:shd w:val="clear" w:color="auto" w:fill="FFFFFF"/>
              </w:rPr>
              <w:t>助理农艺师</w:t>
            </w:r>
          </w:p>
        </w:tc>
        <w:tc>
          <w:tcPr>
            <w:tcW w:w="1855" w:type="pct"/>
            <w:tcBorders>
              <w:top w:val="single" w:color="auto" w:sz="4" w:space="0"/>
              <w:left w:val="nil"/>
              <w:bottom w:val="single" w:color="auto" w:sz="4" w:space="0"/>
              <w:right w:val="single" w:color="auto" w:sz="4" w:space="0"/>
            </w:tcBorders>
            <w:vAlign w:val="center"/>
          </w:tcPr>
          <w:p w14:paraId="474FC63F">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3F66E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03E85637">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07CC828A">
            <w:pPr>
              <w:ind w:firstLine="0" w:firstLineChars="0"/>
              <w:jc w:val="center"/>
              <w:rPr>
                <w:color w:val="auto"/>
                <w:sz w:val="24"/>
              </w:rPr>
            </w:pPr>
            <w:r>
              <w:rPr>
                <w:rFonts w:hint="eastAsia"/>
                <w:color w:val="auto"/>
                <w:sz w:val="24"/>
              </w:rPr>
              <w:t>马东燕</w:t>
            </w:r>
          </w:p>
        </w:tc>
        <w:tc>
          <w:tcPr>
            <w:tcW w:w="1100" w:type="pct"/>
            <w:tcBorders>
              <w:top w:val="single" w:color="auto" w:sz="4" w:space="0"/>
              <w:left w:val="nil"/>
              <w:bottom w:val="single" w:color="auto" w:sz="4" w:space="0"/>
              <w:right w:val="single" w:color="auto" w:sz="4" w:space="0"/>
            </w:tcBorders>
            <w:vAlign w:val="center"/>
          </w:tcPr>
          <w:p w14:paraId="389D642E">
            <w:pPr>
              <w:ind w:firstLine="0" w:firstLineChars="0"/>
              <w:jc w:val="left"/>
              <w:rPr>
                <w:rFonts w:ascii="仿宋_GB2312" w:hAnsi="宋体"/>
                <w:b/>
                <w:bCs/>
                <w:color w:val="auto"/>
                <w:sz w:val="24"/>
              </w:rPr>
            </w:pPr>
            <w:r>
              <w:rPr>
                <w:rFonts w:hint="eastAsia" w:ascii="宋体" w:hAnsi="宋体"/>
                <w:color w:val="auto"/>
                <w:sz w:val="24"/>
                <w:shd w:val="clear" w:color="auto" w:fill="FFFFFF"/>
                <w:lang w:val="en-US" w:eastAsia="zh-CN"/>
              </w:rPr>
              <w:t>横州市植物保护站</w:t>
            </w:r>
          </w:p>
        </w:tc>
        <w:tc>
          <w:tcPr>
            <w:tcW w:w="870" w:type="pct"/>
            <w:tcBorders>
              <w:top w:val="single" w:color="auto" w:sz="4" w:space="0"/>
              <w:left w:val="nil"/>
              <w:bottom w:val="single" w:color="auto" w:sz="4" w:space="0"/>
              <w:right w:val="single" w:color="auto" w:sz="4" w:space="0"/>
            </w:tcBorders>
            <w:vAlign w:val="center"/>
          </w:tcPr>
          <w:p w14:paraId="3744DC51">
            <w:pPr>
              <w:ind w:firstLine="0" w:firstLineChars="0"/>
              <w:jc w:val="left"/>
              <w:rPr>
                <w:rFonts w:ascii="仿宋_GB2312" w:hAnsi="宋体"/>
                <w:b/>
                <w:bCs/>
                <w:color w:val="auto"/>
                <w:sz w:val="24"/>
              </w:rPr>
            </w:pPr>
            <w:r>
              <w:rPr>
                <w:rFonts w:hint="eastAsia" w:ascii="宋体" w:hAnsi="宋体"/>
                <w:bCs/>
                <w:color w:val="auto"/>
                <w:sz w:val="24"/>
                <w:shd w:val="clear" w:color="auto" w:fill="FFFFFF"/>
              </w:rPr>
              <w:t>植保技术员</w:t>
            </w:r>
          </w:p>
        </w:tc>
        <w:tc>
          <w:tcPr>
            <w:tcW w:w="1855" w:type="pct"/>
            <w:tcBorders>
              <w:top w:val="single" w:color="auto" w:sz="4" w:space="0"/>
              <w:left w:val="nil"/>
              <w:bottom w:val="single" w:color="auto" w:sz="4" w:space="0"/>
              <w:right w:val="single" w:color="auto" w:sz="4" w:space="0"/>
            </w:tcBorders>
            <w:vAlign w:val="center"/>
          </w:tcPr>
          <w:p w14:paraId="55BCE5A8">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2AD2B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0012F2EC">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52873EC1">
            <w:pPr>
              <w:ind w:firstLine="0" w:firstLineChars="0"/>
              <w:jc w:val="center"/>
              <w:rPr>
                <w:color w:val="auto"/>
                <w:sz w:val="24"/>
              </w:rPr>
            </w:pPr>
            <w:r>
              <w:rPr>
                <w:rFonts w:hint="eastAsia"/>
                <w:color w:val="auto"/>
                <w:sz w:val="24"/>
              </w:rPr>
              <w:t>梁毅</w:t>
            </w:r>
          </w:p>
        </w:tc>
        <w:tc>
          <w:tcPr>
            <w:tcW w:w="1100" w:type="pct"/>
            <w:tcBorders>
              <w:top w:val="single" w:color="auto" w:sz="4" w:space="0"/>
              <w:left w:val="nil"/>
              <w:bottom w:val="single" w:color="auto" w:sz="4" w:space="0"/>
              <w:right w:val="single" w:color="auto" w:sz="4" w:space="0"/>
            </w:tcBorders>
            <w:vAlign w:val="center"/>
          </w:tcPr>
          <w:p w14:paraId="0757BD26">
            <w:pPr>
              <w:ind w:firstLine="0" w:firstLineChars="0"/>
              <w:jc w:val="left"/>
              <w:rPr>
                <w:rFonts w:ascii="仿宋_GB2312" w:hAnsi="宋体"/>
                <w:b/>
                <w:bCs/>
                <w:color w:val="auto"/>
                <w:sz w:val="24"/>
              </w:rPr>
            </w:pPr>
            <w:r>
              <w:rPr>
                <w:rFonts w:hint="eastAsia" w:ascii="宋体" w:hAnsi="宋体"/>
                <w:color w:val="auto"/>
                <w:sz w:val="24"/>
                <w:shd w:val="clear" w:color="auto" w:fill="FFFFFF"/>
              </w:rPr>
              <w:t>横州市农业技术推广站</w:t>
            </w:r>
          </w:p>
        </w:tc>
        <w:tc>
          <w:tcPr>
            <w:tcW w:w="870" w:type="pct"/>
            <w:tcBorders>
              <w:top w:val="single" w:color="auto" w:sz="4" w:space="0"/>
              <w:left w:val="nil"/>
              <w:bottom w:val="single" w:color="auto" w:sz="4" w:space="0"/>
              <w:right w:val="single" w:color="auto" w:sz="4" w:space="0"/>
            </w:tcBorders>
            <w:vAlign w:val="center"/>
          </w:tcPr>
          <w:p w14:paraId="29D1B5D9">
            <w:pPr>
              <w:ind w:firstLine="0" w:firstLineChars="0"/>
              <w:jc w:val="left"/>
              <w:rPr>
                <w:rFonts w:ascii="仿宋_GB2312" w:hAnsi="宋体" w:eastAsia="仿宋_GB2312"/>
                <w:b/>
                <w:bCs/>
                <w:color w:val="auto"/>
                <w:sz w:val="24"/>
                <w:lang w:val="en-US" w:eastAsia="zh-CN"/>
              </w:rPr>
            </w:pPr>
            <w:r>
              <w:rPr>
                <w:rFonts w:hint="eastAsia" w:ascii="宋体" w:hAnsi="宋体"/>
                <w:color w:val="auto"/>
                <w:sz w:val="24"/>
                <w:shd w:val="clear" w:color="auto" w:fill="FFFFFF"/>
                <w:lang w:val="en-US" w:eastAsia="zh-CN"/>
              </w:rPr>
              <w:t>副</w:t>
            </w:r>
            <w:r>
              <w:rPr>
                <w:rFonts w:hint="eastAsia" w:ascii="宋体" w:hAnsi="宋体"/>
                <w:color w:val="auto"/>
                <w:sz w:val="24"/>
                <w:shd w:val="clear" w:color="auto" w:fill="FFFFFF"/>
              </w:rPr>
              <w:t>站长/</w:t>
            </w:r>
            <w:r>
              <w:rPr>
                <w:rFonts w:hint="eastAsia" w:ascii="宋体" w:hAnsi="宋体"/>
                <w:color w:val="auto"/>
                <w:sz w:val="24"/>
                <w:shd w:val="clear" w:color="auto" w:fill="FFFFFF"/>
                <w:lang w:val="en-US" w:eastAsia="zh-CN"/>
              </w:rPr>
              <w:t>高级农艺师</w:t>
            </w:r>
          </w:p>
        </w:tc>
        <w:tc>
          <w:tcPr>
            <w:tcW w:w="1855" w:type="pct"/>
            <w:tcBorders>
              <w:top w:val="single" w:color="auto" w:sz="4" w:space="0"/>
              <w:left w:val="nil"/>
              <w:bottom w:val="single" w:color="auto" w:sz="4" w:space="0"/>
              <w:right w:val="single" w:color="auto" w:sz="4" w:space="0"/>
            </w:tcBorders>
            <w:vAlign w:val="center"/>
          </w:tcPr>
          <w:p w14:paraId="60E23931">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5F466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14B3A0E0">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shd w:val="clear" w:color="auto" w:fill="auto"/>
            <w:vAlign w:val="center"/>
          </w:tcPr>
          <w:p w14:paraId="650CF085">
            <w:pPr>
              <w:ind w:firstLine="0" w:firstLineChars="0"/>
              <w:jc w:val="center"/>
              <w:rPr>
                <w:rFonts w:hint="eastAsia" w:ascii="Times New Roman" w:hAnsi="Times New Roman" w:eastAsia="仿宋_GB2312" w:cs="Times New Roman"/>
                <w:color w:val="auto"/>
                <w:kern w:val="2"/>
                <w:sz w:val="24"/>
                <w:szCs w:val="24"/>
                <w:lang w:val="en-US" w:eastAsia="zh-CN" w:bidi="ar-SA"/>
              </w:rPr>
            </w:pPr>
            <w:r>
              <w:rPr>
                <w:rFonts w:hint="eastAsia"/>
                <w:color w:val="auto"/>
                <w:sz w:val="24"/>
                <w:lang w:val="en-US" w:eastAsia="zh-CN"/>
              </w:rPr>
              <w:t>陈文新</w:t>
            </w:r>
          </w:p>
        </w:tc>
        <w:tc>
          <w:tcPr>
            <w:tcW w:w="1100" w:type="pct"/>
            <w:tcBorders>
              <w:top w:val="single" w:color="auto" w:sz="4" w:space="0"/>
              <w:left w:val="nil"/>
              <w:bottom w:val="single" w:color="auto" w:sz="4" w:space="0"/>
              <w:right w:val="single" w:color="auto" w:sz="4" w:space="0"/>
            </w:tcBorders>
            <w:shd w:val="clear" w:color="auto" w:fill="auto"/>
            <w:vAlign w:val="center"/>
          </w:tcPr>
          <w:p w14:paraId="5B1466FA">
            <w:pPr>
              <w:ind w:firstLine="0" w:firstLineChars="0"/>
              <w:jc w:val="left"/>
              <w:rPr>
                <w:rFonts w:hint="eastAsia" w:ascii="宋体" w:hAnsi="宋体" w:eastAsia="仿宋_GB2312" w:cs="Times New Roman"/>
                <w:color w:val="auto"/>
                <w:kern w:val="2"/>
                <w:sz w:val="24"/>
                <w:szCs w:val="24"/>
                <w:shd w:val="clear" w:color="auto" w:fill="FFFFFF"/>
                <w:lang w:val="en-US" w:eastAsia="zh-CN" w:bidi="ar-SA"/>
              </w:rPr>
            </w:pPr>
            <w:r>
              <w:rPr>
                <w:rFonts w:hint="eastAsia" w:ascii="宋体" w:hAnsi="宋体"/>
                <w:color w:val="auto"/>
                <w:sz w:val="24"/>
                <w:shd w:val="clear" w:color="auto" w:fill="FFFFFF"/>
                <w:lang w:val="en-US" w:eastAsia="zh-CN"/>
              </w:rPr>
              <w:t>横州市动物疫病预防控制中心</w:t>
            </w:r>
          </w:p>
        </w:tc>
        <w:tc>
          <w:tcPr>
            <w:tcW w:w="870" w:type="pct"/>
            <w:tcBorders>
              <w:top w:val="single" w:color="auto" w:sz="4" w:space="0"/>
              <w:left w:val="nil"/>
              <w:bottom w:val="single" w:color="auto" w:sz="4" w:space="0"/>
              <w:right w:val="single" w:color="auto" w:sz="4" w:space="0"/>
            </w:tcBorders>
            <w:shd w:val="clear" w:color="auto" w:fill="auto"/>
            <w:vAlign w:val="center"/>
          </w:tcPr>
          <w:p w14:paraId="19E58FAA">
            <w:pPr>
              <w:ind w:firstLine="0" w:firstLineChars="0"/>
              <w:jc w:val="left"/>
              <w:rPr>
                <w:rFonts w:hint="eastAsia" w:ascii="宋体" w:hAnsi="宋体" w:eastAsia="仿宋_GB2312" w:cs="Times New Roman"/>
                <w:color w:val="auto"/>
                <w:kern w:val="2"/>
                <w:sz w:val="24"/>
                <w:szCs w:val="24"/>
                <w:shd w:val="clear" w:color="auto" w:fill="FFFFFF"/>
                <w:lang w:val="en-US" w:eastAsia="zh-CN" w:bidi="ar-SA"/>
              </w:rPr>
            </w:pPr>
            <w:r>
              <w:rPr>
                <w:rFonts w:hint="eastAsia" w:ascii="宋体" w:hAnsi="宋体"/>
                <w:color w:val="auto"/>
                <w:sz w:val="24"/>
                <w:shd w:val="clear" w:color="auto" w:fill="FFFFFF"/>
                <w:lang w:val="en-US" w:eastAsia="zh-CN"/>
              </w:rPr>
              <w:t>兽医师</w:t>
            </w:r>
          </w:p>
        </w:tc>
        <w:tc>
          <w:tcPr>
            <w:tcW w:w="1855" w:type="pct"/>
            <w:tcBorders>
              <w:top w:val="single" w:color="auto" w:sz="4" w:space="0"/>
              <w:left w:val="nil"/>
              <w:bottom w:val="single" w:color="auto" w:sz="4" w:space="0"/>
              <w:right w:val="single" w:color="auto" w:sz="4" w:space="0"/>
            </w:tcBorders>
            <w:shd w:val="clear" w:color="auto" w:fill="auto"/>
            <w:vAlign w:val="center"/>
          </w:tcPr>
          <w:p w14:paraId="4E6C0E28">
            <w:pPr>
              <w:ind w:firstLine="0" w:firstLineChars="0"/>
              <w:rPr>
                <w:rFonts w:hint="eastAsia" w:ascii="仿宋_GB2312" w:hAnsi="Times New Roman" w:eastAsia="仿宋_GB2312" w:cs="Times New Roman"/>
                <w:color w:val="auto"/>
                <w:kern w:val="2"/>
                <w:sz w:val="24"/>
                <w:szCs w:val="24"/>
                <w:lang w:val="en-US" w:eastAsia="zh-CN" w:bidi="ar-SA"/>
              </w:rPr>
            </w:pPr>
            <w:r>
              <w:rPr>
                <w:rFonts w:hint="eastAsia" w:ascii="仿宋_GB2312"/>
                <w:color w:val="auto"/>
                <w:sz w:val="24"/>
              </w:rPr>
              <w:t>对标准实施情况进行总结分析，不断对标准提出修正意见</w:t>
            </w:r>
          </w:p>
        </w:tc>
      </w:tr>
      <w:tr w14:paraId="4EB41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1A1B58F0">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shd w:val="clear" w:color="auto" w:fill="auto"/>
            <w:vAlign w:val="center"/>
          </w:tcPr>
          <w:p w14:paraId="5C73D366">
            <w:pPr>
              <w:ind w:firstLine="0" w:firstLineChars="0"/>
              <w:jc w:val="center"/>
              <w:rPr>
                <w:rFonts w:hint="eastAsia" w:ascii="Times New Roman" w:hAnsi="Times New Roman" w:eastAsia="仿宋_GB2312" w:cs="Times New Roman"/>
                <w:color w:val="auto"/>
                <w:kern w:val="2"/>
                <w:sz w:val="24"/>
                <w:szCs w:val="24"/>
                <w:lang w:val="en-US" w:eastAsia="zh-CN" w:bidi="ar-SA"/>
              </w:rPr>
            </w:pPr>
            <w:r>
              <w:rPr>
                <w:rFonts w:hint="eastAsia"/>
                <w:color w:val="auto"/>
                <w:sz w:val="24"/>
                <w:lang w:val="en-US" w:eastAsia="zh-CN"/>
              </w:rPr>
              <w:t>梁云龙</w:t>
            </w:r>
          </w:p>
        </w:tc>
        <w:tc>
          <w:tcPr>
            <w:tcW w:w="1100" w:type="pct"/>
            <w:tcBorders>
              <w:top w:val="single" w:color="auto" w:sz="4" w:space="0"/>
              <w:left w:val="nil"/>
              <w:bottom w:val="single" w:color="auto" w:sz="4" w:space="0"/>
              <w:right w:val="single" w:color="auto" w:sz="4" w:space="0"/>
            </w:tcBorders>
            <w:shd w:val="clear" w:color="auto" w:fill="auto"/>
            <w:vAlign w:val="center"/>
          </w:tcPr>
          <w:p w14:paraId="0FFBD509">
            <w:pPr>
              <w:ind w:firstLine="0" w:firstLineChars="0"/>
              <w:jc w:val="left"/>
              <w:rPr>
                <w:rFonts w:hint="eastAsia" w:ascii="宋体" w:hAnsi="宋体" w:eastAsia="仿宋_GB2312" w:cs="Times New Roman"/>
                <w:color w:val="auto"/>
                <w:kern w:val="2"/>
                <w:sz w:val="24"/>
                <w:szCs w:val="24"/>
                <w:shd w:val="clear" w:color="auto" w:fill="FFFFFF"/>
                <w:lang w:val="en-US" w:eastAsia="zh-CN" w:bidi="ar-SA"/>
              </w:rPr>
            </w:pPr>
            <w:r>
              <w:rPr>
                <w:rFonts w:hint="eastAsia" w:ascii="宋体" w:hAnsi="宋体"/>
                <w:color w:val="auto"/>
                <w:sz w:val="24"/>
                <w:shd w:val="clear" w:color="auto" w:fill="FFFFFF"/>
                <w:lang w:val="en-US" w:eastAsia="zh-CN"/>
              </w:rPr>
              <w:t xml:space="preserve">横州市农业技术推广站 </w:t>
            </w:r>
          </w:p>
        </w:tc>
        <w:tc>
          <w:tcPr>
            <w:tcW w:w="870" w:type="pct"/>
            <w:tcBorders>
              <w:top w:val="single" w:color="auto" w:sz="4" w:space="0"/>
              <w:left w:val="nil"/>
              <w:bottom w:val="single" w:color="auto" w:sz="4" w:space="0"/>
              <w:right w:val="single" w:color="auto" w:sz="4" w:space="0"/>
            </w:tcBorders>
            <w:shd w:val="clear" w:color="auto" w:fill="auto"/>
            <w:vAlign w:val="center"/>
          </w:tcPr>
          <w:p w14:paraId="36ED3270">
            <w:pPr>
              <w:ind w:firstLine="0" w:firstLineChars="0"/>
              <w:jc w:val="left"/>
              <w:rPr>
                <w:rFonts w:hint="eastAsia" w:ascii="宋体" w:hAnsi="宋体" w:eastAsia="仿宋_GB2312" w:cs="Times New Roman"/>
                <w:color w:val="auto"/>
                <w:kern w:val="2"/>
                <w:sz w:val="24"/>
                <w:szCs w:val="24"/>
                <w:shd w:val="clear" w:color="auto" w:fill="FFFFFF"/>
                <w:lang w:val="en-US" w:eastAsia="zh-CN" w:bidi="ar-SA"/>
              </w:rPr>
            </w:pPr>
            <w:r>
              <w:rPr>
                <w:rFonts w:hint="eastAsia" w:ascii="宋体" w:hAnsi="宋体"/>
                <w:color w:val="auto"/>
                <w:sz w:val="24"/>
                <w:shd w:val="clear" w:color="auto" w:fill="FFFFFF"/>
                <w:lang w:val="en-US" w:eastAsia="zh-CN"/>
              </w:rPr>
              <w:t>干部</w:t>
            </w:r>
          </w:p>
        </w:tc>
        <w:tc>
          <w:tcPr>
            <w:tcW w:w="1855" w:type="pct"/>
            <w:tcBorders>
              <w:top w:val="single" w:color="auto" w:sz="4" w:space="0"/>
              <w:left w:val="nil"/>
              <w:bottom w:val="single" w:color="auto" w:sz="4" w:space="0"/>
              <w:right w:val="single" w:color="auto" w:sz="4" w:space="0"/>
            </w:tcBorders>
            <w:shd w:val="clear" w:color="auto" w:fill="auto"/>
            <w:vAlign w:val="center"/>
          </w:tcPr>
          <w:p w14:paraId="61839918">
            <w:pPr>
              <w:ind w:firstLine="0" w:firstLineChars="0"/>
              <w:rPr>
                <w:rFonts w:hint="eastAsia" w:ascii="仿宋_GB2312" w:hAnsi="Times New Roman" w:eastAsia="仿宋_GB2312" w:cs="Times New Roman"/>
                <w:color w:val="auto"/>
                <w:kern w:val="2"/>
                <w:sz w:val="24"/>
                <w:szCs w:val="24"/>
                <w:lang w:val="en-US" w:eastAsia="zh-CN" w:bidi="ar-SA"/>
              </w:rPr>
            </w:pPr>
            <w:r>
              <w:rPr>
                <w:rFonts w:hint="eastAsia" w:ascii="仿宋_GB2312"/>
                <w:color w:val="auto"/>
                <w:sz w:val="24"/>
              </w:rPr>
              <w:t>对标准实施情况进行总结分析，不断对标准提出修正意见</w:t>
            </w:r>
          </w:p>
        </w:tc>
      </w:tr>
      <w:tr w14:paraId="59408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0F266F61">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1E37A86E">
            <w:pPr>
              <w:ind w:firstLine="0" w:firstLineChars="0"/>
              <w:jc w:val="center"/>
              <w:rPr>
                <w:color w:val="auto"/>
                <w:sz w:val="24"/>
              </w:rPr>
            </w:pPr>
            <w:r>
              <w:rPr>
                <w:rFonts w:hint="eastAsia"/>
                <w:color w:val="auto"/>
                <w:sz w:val="24"/>
              </w:rPr>
              <w:t>梁世龙</w:t>
            </w:r>
          </w:p>
        </w:tc>
        <w:tc>
          <w:tcPr>
            <w:tcW w:w="1100" w:type="pct"/>
            <w:tcBorders>
              <w:top w:val="single" w:color="auto" w:sz="4" w:space="0"/>
              <w:left w:val="nil"/>
              <w:bottom w:val="single" w:color="auto" w:sz="4" w:space="0"/>
              <w:right w:val="single" w:color="auto" w:sz="4" w:space="0"/>
            </w:tcBorders>
            <w:vAlign w:val="center"/>
          </w:tcPr>
          <w:p w14:paraId="4B8C93F3">
            <w:pPr>
              <w:ind w:firstLine="0" w:firstLineChars="0"/>
              <w:jc w:val="left"/>
              <w:rPr>
                <w:rFonts w:ascii="仿宋_GB2312" w:hAnsi="宋体" w:eastAsia="仿宋_GB2312"/>
                <w:b/>
                <w:bCs/>
                <w:color w:val="auto"/>
                <w:sz w:val="24"/>
                <w:lang w:val="en-US" w:eastAsia="zh-CN"/>
              </w:rPr>
            </w:pPr>
            <w:r>
              <w:rPr>
                <w:rFonts w:hint="eastAsia" w:ascii="宋体" w:hAnsi="宋体"/>
                <w:color w:val="auto"/>
                <w:sz w:val="24"/>
                <w:shd w:val="clear" w:color="auto" w:fill="FFFFFF"/>
              </w:rPr>
              <w:t>横州市农业</w:t>
            </w:r>
            <w:r>
              <w:rPr>
                <w:rFonts w:hint="eastAsia" w:ascii="宋体" w:hAnsi="宋体"/>
                <w:color w:val="auto"/>
                <w:sz w:val="24"/>
                <w:shd w:val="clear" w:color="auto" w:fill="FFFFFF"/>
                <w:lang w:val="en-US" w:eastAsia="zh-CN"/>
              </w:rPr>
              <w:t>科学研究所</w:t>
            </w:r>
          </w:p>
        </w:tc>
        <w:tc>
          <w:tcPr>
            <w:tcW w:w="870" w:type="pct"/>
            <w:tcBorders>
              <w:top w:val="single" w:color="auto" w:sz="4" w:space="0"/>
              <w:left w:val="nil"/>
              <w:bottom w:val="single" w:color="auto" w:sz="4" w:space="0"/>
              <w:right w:val="single" w:color="auto" w:sz="4" w:space="0"/>
            </w:tcBorders>
            <w:vAlign w:val="center"/>
          </w:tcPr>
          <w:p w14:paraId="10EEFDA4">
            <w:pPr>
              <w:ind w:firstLine="0" w:firstLineChars="0"/>
              <w:jc w:val="left"/>
              <w:rPr>
                <w:rFonts w:ascii="仿宋_GB2312" w:hAnsi="宋体"/>
                <w:b/>
                <w:bCs/>
                <w:color w:val="auto"/>
                <w:sz w:val="24"/>
              </w:rPr>
            </w:pPr>
            <w:r>
              <w:rPr>
                <w:rFonts w:hint="eastAsia" w:ascii="宋体" w:hAnsi="宋体"/>
                <w:color w:val="auto"/>
                <w:sz w:val="24"/>
                <w:shd w:val="clear" w:color="auto" w:fill="FFFFFF"/>
                <w:lang w:val="en-US" w:eastAsia="zh-CN"/>
              </w:rPr>
              <w:t>副所</w:t>
            </w:r>
            <w:r>
              <w:rPr>
                <w:rFonts w:hint="eastAsia" w:ascii="宋体" w:hAnsi="宋体"/>
                <w:color w:val="auto"/>
                <w:sz w:val="24"/>
                <w:shd w:val="clear" w:color="auto" w:fill="FFFFFF"/>
              </w:rPr>
              <w:t>长</w:t>
            </w:r>
            <w:r>
              <w:rPr>
                <w:rFonts w:ascii="宋体" w:hAnsi="宋体"/>
                <w:color w:val="auto"/>
                <w:sz w:val="24"/>
                <w:shd w:val="clear" w:color="auto" w:fill="FFFFFF"/>
              </w:rPr>
              <w:t>/农艺师</w:t>
            </w:r>
          </w:p>
        </w:tc>
        <w:tc>
          <w:tcPr>
            <w:tcW w:w="1855" w:type="pct"/>
            <w:tcBorders>
              <w:top w:val="single" w:color="auto" w:sz="4" w:space="0"/>
              <w:left w:val="nil"/>
              <w:bottom w:val="single" w:color="auto" w:sz="4" w:space="0"/>
              <w:right w:val="single" w:color="auto" w:sz="4" w:space="0"/>
            </w:tcBorders>
            <w:vAlign w:val="center"/>
          </w:tcPr>
          <w:p w14:paraId="79979F19">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r w14:paraId="67946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5F1EDD6">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61EE7C4E">
            <w:pPr>
              <w:ind w:firstLine="0" w:firstLineChars="0"/>
              <w:jc w:val="center"/>
              <w:rPr>
                <w:color w:val="auto"/>
                <w:sz w:val="24"/>
              </w:rPr>
            </w:pPr>
            <w:r>
              <w:rPr>
                <w:rFonts w:hint="eastAsia"/>
                <w:color w:val="auto"/>
                <w:sz w:val="24"/>
              </w:rPr>
              <w:t>韦振飞</w:t>
            </w:r>
          </w:p>
        </w:tc>
        <w:tc>
          <w:tcPr>
            <w:tcW w:w="1100" w:type="pct"/>
            <w:tcBorders>
              <w:top w:val="single" w:color="auto" w:sz="4" w:space="0"/>
              <w:left w:val="nil"/>
              <w:bottom w:val="single" w:color="auto" w:sz="4" w:space="0"/>
              <w:right w:val="single" w:color="auto" w:sz="4" w:space="0"/>
            </w:tcBorders>
            <w:vAlign w:val="center"/>
          </w:tcPr>
          <w:p w14:paraId="092831B1">
            <w:pPr>
              <w:ind w:firstLine="0" w:firstLineChars="0"/>
              <w:jc w:val="left"/>
              <w:rPr>
                <w:rFonts w:hint="eastAsia" w:ascii="宋体" w:hAnsi="宋体"/>
                <w:bCs/>
                <w:color w:val="auto"/>
                <w:sz w:val="24"/>
                <w:shd w:val="clear" w:color="auto" w:fill="FFFFFF"/>
              </w:rPr>
            </w:pPr>
            <w:r>
              <w:rPr>
                <w:rFonts w:hint="eastAsia" w:ascii="宋体" w:hAnsi="宋体"/>
                <w:bCs/>
                <w:color w:val="auto"/>
                <w:sz w:val="24"/>
                <w:shd w:val="clear" w:color="auto" w:fill="FFFFFF"/>
              </w:rPr>
              <w:t>横州市</w:t>
            </w:r>
            <w:r>
              <w:rPr>
                <w:rFonts w:ascii="宋体" w:hAnsi="宋体"/>
                <w:bCs/>
                <w:color w:val="auto"/>
                <w:sz w:val="24"/>
                <w:shd w:val="clear" w:color="auto" w:fill="FFFFFF"/>
              </w:rPr>
              <w:t>科教</w:t>
            </w:r>
            <w:r>
              <w:rPr>
                <w:rFonts w:hint="eastAsia" w:ascii="宋体" w:hAnsi="宋体"/>
                <w:bCs/>
                <w:color w:val="auto"/>
                <w:sz w:val="24"/>
                <w:shd w:val="clear" w:color="auto" w:fill="FFFFFF"/>
              </w:rPr>
              <w:t>站</w:t>
            </w:r>
          </w:p>
        </w:tc>
        <w:tc>
          <w:tcPr>
            <w:tcW w:w="870" w:type="pct"/>
            <w:tcBorders>
              <w:top w:val="single" w:color="auto" w:sz="4" w:space="0"/>
              <w:left w:val="nil"/>
              <w:bottom w:val="single" w:color="auto" w:sz="4" w:space="0"/>
              <w:right w:val="single" w:color="auto" w:sz="4" w:space="0"/>
            </w:tcBorders>
            <w:vAlign w:val="center"/>
          </w:tcPr>
          <w:p w14:paraId="47E34878">
            <w:pPr>
              <w:ind w:firstLine="0" w:firstLineChars="0"/>
              <w:jc w:val="left"/>
              <w:rPr>
                <w:rFonts w:hint="eastAsia" w:ascii="宋体" w:hAnsi="宋体"/>
                <w:bCs/>
                <w:color w:val="auto"/>
                <w:sz w:val="24"/>
                <w:shd w:val="clear" w:color="auto" w:fill="FFFFFF"/>
              </w:rPr>
            </w:pPr>
            <w:r>
              <w:rPr>
                <w:rFonts w:ascii="宋体" w:hAnsi="宋体"/>
                <w:color w:val="auto"/>
                <w:sz w:val="24"/>
                <w:shd w:val="clear" w:color="auto" w:fill="FFFFFF"/>
                <w:lang w:val="en-US" w:eastAsia="zh-CN"/>
              </w:rPr>
              <w:t>站长</w:t>
            </w:r>
          </w:p>
        </w:tc>
        <w:tc>
          <w:tcPr>
            <w:tcW w:w="1855" w:type="pct"/>
            <w:tcBorders>
              <w:top w:val="single" w:color="auto" w:sz="4" w:space="0"/>
              <w:left w:val="nil"/>
              <w:bottom w:val="single" w:color="auto" w:sz="4" w:space="0"/>
              <w:right w:val="single" w:color="auto" w:sz="4" w:space="0"/>
            </w:tcBorders>
            <w:vAlign w:val="center"/>
          </w:tcPr>
          <w:p w14:paraId="4C7517EB">
            <w:pPr>
              <w:ind w:firstLine="0" w:firstLineChars="0"/>
              <w:rPr>
                <w:rFonts w:ascii="仿宋_GB2312" w:hAnsi="宋体"/>
                <w:b/>
                <w:bCs/>
                <w:color w:val="auto"/>
                <w:sz w:val="24"/>
              </w:rPr>
            </w:pPr>
            <w:r>
              <w:rPr>
                <w:rFonts w:hint="eastAsia" w:ascii="仿宋_GB2312"/>
                <w:color w:val="auto"/>
                <w:sz w:val="24"/>
              </w:rPr>
              <w:t>对标准实施情况进行总结分析，不断对标准提出修正意见</w:t>
            </w:r>
          </w:p>
        </w:tc>
      </w:tr>
      <w:tr w14:paraId="656F9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19" w:type="pct"/>
            <w:tcBorders>
              <w:top w:val="single" w:color="auto" w:sz="4" w:space="0"/>
              <w:left w:val="single" w:color="auto" w:sz="4" w:space="0"/>
              <w:bottom w:val="single" w:color="auto" w:sz="4" w:space="0"/>
              <w:right w:val="single" w:color="auto" w:sz="4" w:space="0"/>
            </w:tcBorders>
            <w:vAlign w:val="center"/>
          </w:tcPr>
          <w:p w14:paraId="26F48AAC">
            <w:pPr>
              <w:pStyle w:val="30"/>
              <w:numPr>
                <w:ilvl w:val="0"/>
                <w:numId w:val="11"/>
              </w:numPr>
              <w:ind w:left="0" w:firstLine="0" w:firstLineChars="0"/>
              <w:jc w:val="center"/>
              <w:rPr>
                <w:rFonts w:ascii="仿宋_GB2312" w:hAnsi="宋体"/>
                <w:bCs/>
                <w:color w:val="auto"/>
                <w:sz w:val="24"/>
              </w:rPr>
            </w:pPr>
          </w:p>
        </w:tc>
        <w:tc>
          <w:tcPr>
            <w:tcW w:w="753" w:type="pct"/>
            <w:tcBorders>
              <w:top w:val="single" w:color="auto" w:sz="4" w:space="0"/>
              <w:left w:val="nil"/>
              <w:bottom w:val="single" w:color="auto" w:sz="4" w:space="0"/>
              <w:right w:val="single" w:color="auto" w:sz="4" w:space="0"/>
            </w:tcBorders>
            <w:vAlign w:val="center"/>
          </w:tcPr>
          <w:p w14:paraId="3F7DBC47">
            <w:pPr>
              <w:ind w:firstLine="0" w:firstLineChars="0"/>
              <w:jc w:val="center"/>
              <w:rPr>
                <w:color w:val="auto"/>
                <w:sz w:val="24"/>
              </w:rPr>
            </w:pPr>
            <w:r>
              <w:rPr>
                <w:rFonts w:hint="eastAsia"/>
                <w:color w:val="auto"/>
                <w:sz w:val="24"/>
              </w:rPr>
              <w:t>卢少莲</w:t>
            </w:r>
          </w:p>
        </w:tc>
        <w:tc>
          <w:tcPr>
            <w:tcW w:w="1100" w:type="pct"/>
            <w:tcBorders>
              <w:top w:val="single" w:color="auto" w:sz="4" w:space="0"/>
              <w:left w:val="nil"/>
              <w:bottom w:val="single" w:color="auto" w:sz="4" w:space="0"/>
              <w:right w:val="single" w:color="auto" w:sz="4" w:space="0"/>
            </w:tcBorders>
            <w:vAlign w:val="center"/>
          </w:tcPr>
          <w:p w14:paraId="1D21F725">
            <w:pPr>
              <w:ind w:firstLine="0" w:firstLineChars="0"/>
              <w:jc w:val="left"/>
              <w:rPr>
                <w:rFonts w:ascii="仿宋_GB2312" w:hAnsi="宋体"/>
                <w:b/>
                <w:bCs/>
                <w:color w:val="auto"/>
                <w:sz w:val="24"/>
              </w:rPr>
            </w:pPr>
            <w:r>
              <w:rPr>
                <w:rFonts w:hint="eastAsia" w:ascii="宋体" w:hAnsi="宋体"/>
                <w:color w:val="auto"/>
                <w:sz w:val="24"/>
                <w:shd w:val="clear" w:color="auto" w:fill="FFFFFF"/>
                <w:lang w:val="en-US" w:eastAsia="zh-CN"/>
              </w:rPr>
              <w:t>横州市植物保护站</w:t>
            </w:r>
          </w:p>
        </w:tc>
        <w:tc>
          <w:tcPr>
            <w:tcW w:w="870" w:type="pct"/>
            <w:tcBorders>
              <w:top w:val="single" w:color="auto" w:sz="4" w:space="0"/>
              <w:left w:val="nil"/>
              <w:bottom w:val="single" w:color="auto" w:sz="4" w:space="0"/>
              <w:right w:val="single" w:color="auto" w:sz="4" w:space="0"/>
            </w:tcBorders>
            <w:vAlign w:val="center"/>
          </w:tcPr>
          <w:p w14:paraId="34FD00B6">
            <w:pPr>
              <w:ind w:firstLine="0" w:firstLineChars="0"/>
              <w:jc w:val="left"/>
              <w:rPr>
                <w:rFonts w:ascii="仿宋_GB2312" w:hAnsi="宋体"/>
                <w:b/>
                <w:bCs/>
                <w:color w:val="auto"/>
                <w:sz w:val="24"/>
              </w:rPr>
            </w:pPr>
            <w:r>
              <w:rPr>
                <w:rFonts w:hint="eastAsia" w:ascii="宋体" w:hAnsi="宋体"/>
                <w:color w:val="auto"/>
                <w:sz w:val="24"/>
                <w:shd w:val="clear" w:color="auto" w:fill="FFFFFF"/>
                <w:lang w:val="en-US" w:eastAsia="zh-CN"/>
              </w:rPr>
              <w:t>副站长</w:t>
            </w:r>
          </w:p>
        </w:tc>
        <w:tc>
          <w:tcPr>
            <w:tcW w:w="1855" w:type="pct"/>
            <w:tcBorders>
              <w:top w:val="single" w:color="auto" w:sz="4" w:space="0"/>
              <w:left w:val="nil"/>
              <w:bottom w:val="single" w:color="auto" w:sz="4" w:space="0"/>
              <w:right w:val="single" w:color="auto" w:sz="4" w:space="0"/>
            </w:tcBorders>
            <w:vAlign w:val="center"/>
          </w:tcPr>
          <w:p w14:paraId="7D81D65B">
            <w:pPr>
              <w:ind w:firstLine="0" w:firstLineChars="0"/>
              <w:rPr>
                <w:rFonts w:ascii="仿宋_GB2312" w:hAnsi="宋体"/>
                <w:color w:val="auto"/>
                <w:sz w:val="24"/>
              </w:rPr>
            </w:pPr>
            <w:r>
              <w:rPr>
                <w:rFonts w:hint="eastAsia" w:ascii="仿宋_GB2312"/>
                <w:color w:val="auto"/>
                <w:sz w:val="24"/>
              </w:rPr>
              <w:t>对标准实施情况进行总结分析，不断对标准提出修正意见</w:t>
            </w:r>
          </w:p>
        </w:tc>
      </w:tr>
    </w:tbl>
    <w:p w14:paraId="55FA62FA">
      <w:pPr>
        <w:autoSpaceDE w:val="0"/>
        <w:autoSpaceDN w:val="0"/>
        <w:adjustRightInd w:val="0"/>
        <w:jc w:val="left"/>
        <w:rPr>
          <w:rFonts w:hint="eastAsia" w:ascii="黑体" w:hAnsi="黑体" w:eastAsia="黑体" w:cs="仿宋_GB2312"/>
          <w:szCs w:val="32"/>
        </w:rPr>
      </w:pPr>
    </w:p>
    <w:p w14:paraId="76F78303">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二、制定标准的必要性和意义</w:t>
      </w:r>
    </w:p>
    <w:p w14:paraId="4868949B">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国家大力鼓励支持特色产业发展。2021年，农业农村部等10部门发布《关于推动脱贫地区特色产业可持续发展的指导意见》，鼓励打造特色产业链，长期培育和支持脱贫地区特色产业，强化创新驱动，拓展产业增值增效空间。2023年，中央农村工作会议明确要求，要依托农业农村特色资源，落实产业帮扶政策，做好“土特产”文章。</w:t>
      </w:r>
    </w:p>
    <w:p w14:paraId="7EEA7EC1">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自治区人民政府也高度重视茉莉花特色产业的发展。早在2018年，自治区人民政府就把茉莉花特色产业列入了《广西工业高质量发展行动计划（2018－2020）》，横州市人民政府提出了茉莉花“1+9”的产业发展战略，其中茉莉花+食品、餐饮、药用、康养是“1+9”产业中重要的发展目标和方向。2021年，自治区发改委会印发《广西特色产业做强做优总体方案》；横州市人大常委会《南宁横州市茉莉花保护发展条例》于2022年1月1日起施行；2023年横州市人民政府发布《横州市茉莉花产业发展（2023-2025）奖励扶持办法》，按照“标准化</w:t>
      </w:r>
      <w:r>
        <w:rPr>
          <w:rFonts w:hint="eastAsia" w:ascii="宋体" w:hAnsi="宋体" w:eastAsia="宋体" w:cs="宋体"/>
          <w:szCs w:val="28"/>
        </w:rPr>
        <w:t>•</w:t>
      </w:r>
      <w:r>
        <w:rPr>
          <w:rFonts w:hint="eastAsia" w:ascii="仿宋_GB2312" w:hAnsi="仿宋_GB2312" w:cs="仿宋_GB2312"/>
          <w:szCs w:val="28"/>
        </w:rPr>
        <w:t>品牌化</w:t>
      </w:r>
      <w:r>
        <w:rPr>
          <w:rFonts w:hint="eastAsia" w:ascii="宋体" w:hAnsi="宋体" w:eastAsia="宋体" w:cs="宋体"/>
          <w:szCs w:val="28"/>
        </w:rPr>
        <w:t>•</w:t>
      </w:r>
      <w:r>
        <w:rPr>
          <w:rFonts w:hint="eastAsia" w:ascii="仿宋_GB2312" w:hAnsi="仿宋_GB2312" w:cs="仿宋_GB2312"/>
          <w:szCs w:val="28"/>
        </w:rPr>
        <w:t>国际化”的思路，打造全球茉莉花产业中心。</w:t>
      </w:r>
      <w:r>
        <w:rPr>
          <w:rFonts w:ascii="仿宋_GB2312" w:hAnsi="仿宋_GB2312" w:cs="仿宋_GB2312"/>
          <w:szCs w:val="28"/>
        </w:rPr>
        <w:t>2025</w:t>
      </w:r>
      <w:r>
        <w:rPr>
          <w:rFonts w:hint="eastAsia" w:ascii="仿宋_GB2312" w:hAnsi="仿宋_GB2312" w:cs="仿宋_GB2312"/>
          <w:szCs w:val="28"/>
        </w:rPr>
        <w:t>年</w:t>
      </w:r>
      <w:r>
        <w:rPr>
          <w:rFonts w:ascii="仿宋_GB2312" w:hAnsi="仿宋_GB2312" w:cs="仿宋_GB2312"/>
          <w:szCs w:val="28"/>
        </w:rPr>
        <w:t>2</w:t>
      </w:r>
      <w:r>
        <w:rPr>
          <w:rFonts w:hint="eastAsia" w:ascii="仿宋_GB2312" w:hAnsi="仿宋_GB2312" w:cs="仿宋_GB2312"/>
          <w:szCs w:val="28"/>
        </w:rPr>
        <w:t>月发布的《中共中央国务院关于进一步深化农村改革</w:t>
      </w:r>
      <w:r>
        <w:rPr>
          <w:rFonts w:ascii="仿宋_GB2312" w:hAnsi="仿宋_GB2312" w:cs="仿宋_GB2312"/>
          <w:szCs w:val="28"/>
        </w:rPr>
        <w:t xml:space="preserve"> </w:t>
      </w:r>
      <w:r>
        <w:rPr>
          <w:rFonts w:hint="eastAsia" w:ascii="仿宋_GB2312" w:hAnsi="仿宋_GB2312" w:cs="仿宋_GB2312"/>
          <w:szCs w:val="28"/>
        </w:rPr>
        <w:t>扎实推进乡村全面振兴的意见》的中央一号文件指出，要发展乡村特色产业。坚持按市场规律办事，大力发展绿色、特色农产品种养，推进农产品加工业转型升级，实施农业品牌精品培育计划，打造特色农业产业集群，提升农业产业化水平。深入实施农村产业融合发展项目，培育乡村新产业新业态。农业农村部部长韩俊也抢到农产品不仅要产得好，还要卖得好。要扎实推进“三品一标”工作，为人民提供更多高品质、有口碑的优质农产品。</w:t>
      </w:r>
    </w:p>
    <w:p w14:paraId="04300F62">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广西横州市的茉莉花和茉莉花茶产量占全国的80%以上，占全球总量的60%以上，是名副其实的“世界茉莉花都”。目前，横州市拥有180多家茉莉花（茶）加工企业，其中规模以上企业76家，茉莉花种植面积达18万亩，茉莉鲜花年产量超15万吨，2025年加工茉莉花茶超12万吨，二产（工业）产值80亿元；三产产值65亿元。茉莉花一二三产综合产值190亿元。形成了一个涵盖花茶、盆栽、食品、旅游、康养等在内的“1+9”产业集群，成为带动34万花农增收致富的支柱产业。不仅如此，福州作为茉莉花茶的发源地，也在通过复兴计划重振品牌。如此庞大的产业体量和日益延伸的产业链，意味着其基础原料——茉莉鲜花的质量稳定性与安全可控性，已成为影响下游近百亿加工产值和品牌信誉的基石。产业规模越大，建立统一、可追溯的生产规范就越是保障整体产业稳健发展的“压舱石”。</w:t>
      </w:r>
    </w:p>
    <w:p w14:paraId="640DE96E">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然而，与耀眼的产业规模和数据形成对比的，是生产环节长期存在的痛点与潜在风险，这构成了制定标准的现实紧迫性。首要痛点在于生产方式的分散性与标准化程度低。目前茉莉花种植仍以小农户分散经营为主，“各自为战”的局面导致种植管理标准难以统一，化肥、农药的使用依赖个人经验，致使鲜花质量参差不齐，难以实现优质优价的分级。这直接制约了高端精深加工产品对稳定优质原料的需求。其次，产业面临着质量安全与生态风险。不规范的生产操作可能带来农残超标、土壤退化等隐患，威胁产业的可持续性和区域公共品牌（如“横县茉莉花”这一国家地理标志产品）的声誉。最后，这种粗放模式也导致了产业竞争力与抗风险能力薄弱。由于缺乏统一的生产和技术标准，产业难以形成规模化效应，也阻碍了数字化、智能化管理等现代科技的精准导入。同时，原料质量的波动也影响了龙头企业扩大再生产的积极性，使产业在应对市场波动时显得脆弱。</w:t>
      </w:r>
    </w:p>
    <w:p w14:paraId="1A93DA3D">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因此，制定并推行《横县茉莉花种植基地管理规范》团体标准，是破解上述困境、引领产业迈向高质量发展的关键举措，其作用是多层次和根本性的。首先，立标的核心作用是“提质控险”。通过明确规定园地选择、品种繁育、栽培管理、病虫害绿色防控、采收贮运等全流程技术要点，可以为数十万花农和合作社提供一套清晰、可操作的“生产教科书”，从源头上提升茉莉鲜花的平均质量水平和安全底线，保护产地生态环境。其次，立标能够“赋能增效”，促进现代化转型。统一的标准是推广应用水肥一体化、AI病虫害识别、数字化管理等智慧农业技术的前提。它使得生产数据可比、过程可管，为发展“数字茉莉”、实现精准农业奠定基础，从而提升生产效率，降低生产成本。再次，立标有助于“强链延链”，提升产业整体价值。稳定、优质的原料供应能吸引和留住更多像张一元、农夫山泉这样的龙头企业，并支撑其向茉莉精油、护肤品、文创等高附加值领域深度拓展。同时，规范化的生产记录和可追溯体系，是产品赢得高端市场、国际市场和新兴茶饮市场信任的“通行证”。最后，立标是响应国家政策、规范行业发展的必然要求。国家新修订的《农业农村标准化管理办法》明确提出鼓励制定团体标准，各地政府也将茉莉花产业列为重点扶持对象。此时制定标准，正是响应政策、将扶持力转化为生产力的最佳时机。同时，产业自身也亟需通过标准化来整合提升，为引入数字农业、智慧管理等现代化技术铺平道路。错过这个转型窗口期，产业可能长期徘徊于“大而不强”的境地。</w:t>
      </w:r>
    </w:p>
    <w:p w14:paraId="424A620C">
      <w:pPr>
        <w:autoSpaceDE w:val="0"/>
        <w:autoSpaceDN w:val="0"/>
        <w:adjustRightInd w:val="0"/>
        <w:ind w:firstLine="640"/>
        <w:rPr>
          <w:rFonts w:ascii="仿宋_GB2312" w:hAnsi="仿宋_GB2312" w:cs="仿宋_GB2312"/>
          <w:szCs w:val="28"/>
        </w:rPr>
      </w:pPr>
      <w:r>
        <w:rPr>
          <w:rFonts w:hint="eastAsia" w:ascii="仿宋_GB2312" w:hAnsi="仿宋_GB2312" w:cs="仿宋_GB2312"/>
          <w:szCs w:val="28"/>
        </w:rPr>
        <w:t>通过制定团体标准《横县茉莉花种植基地管理规范》，以标准为抓手，统一规范横县茉莉花种植基地管理要求，对提高横县茉莉花种植基地管理水平，推动横县茉莉花产业高质量发展具有重要意义。</w:t>
      </w:r>
    </w:p>
    <w:p w14:paraId="263ED049">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三、主要起草过程</w:t>
      </w:r>
    </w:p>
    <w:p w14:paraId="550CACD2">
      <w:pPr>
        <w:ind w:firstLine="643"/>
        <w:rPr>
          <w:rFonts w:ascii="仿宋_GB2312" w:hAnsi="仿宋_GB2312" w:cs="仿宋_GB2312"/>
          <w:szCs w:val="28"/>
        </w:rPr>
      </w:pPr>
      <w:r>
        <w:rPr>
          <w:rFonts w:hint="eastAsia" w:ascii="仿宋_GB2312" w:hAnsi="仿宋_GB2312" w:cs="仿宋_GB2312"/>
          <w:b/>
          <w:szCs w:val="28"/>
        </w:rPr>
        <w:t>（一）成立标准编制工作组</w:t>
      </w:r>
    </w:p>
    <w:p w14:paraId="11421FE8">
      <w:pPr>
        <w:ind w:firstLine="640"/>
        <w:rPr>
          <w:rFonts w:ascii="仿宋_GB2312" w:hAnsi="仿宋_GB2312" w:cs="仿宋_GB2312"/>
          <w:szCs w:val="28"/>
        </w:rPr>
      </w:pPr>
      <w:r>
        <w:rPr>
          <w:rFonts w:hint="eastAsia" w:ascii="仿宋_GB2312" w:hAnsi="仿宋_GB2312" w:cs="仿宋_GB2312"/>
          <w:szCs w:val="28"/>
        </w:rPr>
        <w:t>团体标准《横县茉莉花种植基地管理规范》项目任务下达后，浦北县农业农村局成立了标准编制工作组，起草单位制定了起草编写方案与进度安排，明确任务职责，确定工作技术路线，开展标准研制工作。具体标准编制工作由横州市农业农村局、横州市茉莉花产业服务中心、横州市现代农业产业园管理中心、横州市花茶协会、横州市综合检验检测中心等单位负责人组成的标准编制工作组完成。</w:t>
      </w:r>
    </w:p>
    <w:p w14:paraId="1C0DE29E">
      <w:pPr>
        <w:ind w:firstLine="640"/>
        <w:rPr>
          <w:rFonts w:ascii="仿宋_GB2312" w:hAnsi="仿宋_GB2312" w:cs="仿宋_GB2312"/>
          <w:szCs w:val="28"/>
        </w:rPr>
      </w:pPr>
      <w:r>
        <w:rPr>
          <w:rFonts w:hint="eastAsia" w:ascii="仿宋_GB2312" w:hAnsi="仿宋_GB2312" w:cs="仿宋_GB2312"/>
          <w:szCs w:val="28"/>
        </w:rPr>
        <w:t>编制工作组下设三个组，分别是资料收集组、草案编写组、标准实施组。</w:t>
      </w:r>
    </w:p>
    <w:p w14:paraId="2A200F09">
      <w:pPr>
        <w:ind w:firstLine="640"/>
        <w:rPr>
          <w:rFonts w:ascii="仿宋_GB2312" w:hAnsi="仿宋_GB2312" w:cs="仿宋_GB2312"/>
          <w:szCs w:val="28"/>
        </w:rPr>
      </w:pPr>
      <w:r>
        <w:rPr>
          <w:rFonts w:hint="eastAsia" w:ascii="仿宋_GB2312" w:hAnsi="仿宋_GB2312" w:cs="仿宋_GB2312"/>
          <w:szCs w:val="28"/>
        </w:rPr>
        <w:t>资料收集组负责国内外有关横县茉莉花种植基地管理的文献资料的查询、收集和整理工作，查阅前人对横县茉莉花种植基地管理的研究情况。</w:t>
      </w:r>
    </w:p>
    <w:p w14:paraId="65925D34">
      <w:pPr>
        <w:ind w:firstLine="640"/>
        <w:rPr>
          <w:rFonts w:ascii="仿宋_GB2312" w:hAnsi="仿宋_GB2312" w:cs="仿宋_GB2312"/>
          <w:szCs w:val="28"/>
        </w:rPr>
      </w:pPr>
      <w:r>
        <w:rPr>
          <w:rFonts w:hint="eastAsia" w:ascii="仿宋_GB2312" w:hAnsi="仿宋_GB2312" w:cs="仿宋_GB2312"/>
          <w:szCs w:val="28"/>
        </w:rPr>
        <w:t>草案编写组负责起草标准草案、征求意见稿和标准编制说明、送审稿及编制说明的编写工作，包括后期召开征求意见会、网上征求意见，以及标准的不断修改和完善。</w:t>
      </w:r>
    </w:p>
    <w:p w14:paraId="28F64471">
      <w:pPr>
        <w:ind w:firstLine="640"/>
        <w:rPr>
          <w:rFonts w:ascii="仿宋_GB2312" w:hAnsi="仿宋_GB2312" w:cs="仿宋_GB2312"/>
          <w:szCs w:val="28"/>
        </w:rPr>
      </w:pPr>
      <w:r>
        <w:rPr>
          <w:rFonts w:hint="eastAsia" w:ascii="仿宋_GB2312" w:hAnsi="仿宋_GB2312" w:cs="仿宋_GB2312"/>
          <w:szCs w:val="28"/>
        </w:rPr>
        <w:t>标准实施组负责团体标准《横县茉莉花种植基地管理规范》发布后，组织相关企事业单位开展标准宣贯培训会，对标准进行详细解读，让相关人员了解标准，并根据标准对横县茉莉花种植基地进行规范化管理，并对标准实施情况进行总结分析，不断对团体标准提出修正意见。</w:t>
      </w:r>
    </w:p>
    <w:p w14:paraId="7907EE58">
      <w:pPr>
        <w:ind w:firstLine="643"/>
        <w:rPr>
          <w:rFonts w:ascii="仿宋_GB2312" w:hAnsi="仿宋_GB2312" w:cs="仿宋_GB2312"/>
          <w:b/>
          <w:szCs w:val="28"/>
        </w:rPr>
      </w:pPr>
      <w:r>
        <w:rPr>
          <w:rFonts w:hint="eastAsia" w:ascii="仿宋_GB2312" w:hAnsi="仿宋_GB2312" w:cs="仿宋_GB2312"/>
          <w:b/>
          <w:szCs w:val="28"/>
        </w:rPr>
        <w:t>（二）收集整理文献资料</w:t>
      </w:r>
    </w:p>
    <w:p w14:paraId="53B7A209">
      <w:pPr>
        <w:ind w:firstLine="640"/>
        <w:rPr>
          <w:rFonts w:ascii="仿宋_GB2312" w:hAnsi="仿宋_GB2312" w:cs="仿宋_GB2312"/>
          <w:szCs w:val="28"/>
          <w:lang w:val="fr-FR"/>
        </w:rPr>
      </w:pPr>
      <w:r>
        <w:rPr>
          <w:rFonts w:hint="eastAsia" w:ascii="仿宋_GB2312" w:hAnsi="仿宋_GB2312" w:cs="仿宋_GB2312"/>
          <w:szCs w:val="28"/>
        </w:rPr>
        <w:t>标准编制工作组收集了国内有关“横县茉莉花”相关文献资料。主要有</w:t>
      </w:r>
      <w:r>
        <w:rPr>
          <w:rFonts w:hint="eastAsia" w:ascii="仿宋_GB2312" w:hAnsi="仿宋_GB2312" w:cs="仿宋_GB2312"/>
          <w:szCs w:val="28"/>
          <w:lang w:val="fr-FR"/>
        </w:rPr>
        <w:t>：</w:t>
      </w:r>
    </w:p>
    <w:p w14:paraId="2FBDA2A2">
      <w:pPr>
        <w:ind w:firstLine="640"/>
        <w:rPr>
          <w:rFonts w:ascii="仿宋_GB2312" w:hAnsi="仿宋_GB2312" w:cs="仿宋_GB2312"/>
          <w:szCs w:val="28"/>
        </w:rPr>
      </w:pPr>
      <w:r>
        <w:rPr>
          <w:rFonts w:hint="eastAsia" w:ascii="仿宋_GB2312" w:hAnsi="仿宋_GB2312" w:cs="仿宋_GB2312"/>
          <w:szCs w:val="28"/>
        </w:rPr>
        <w:t>《DB45/T 2606-2022  地理标志产品 横县茉莉花茶生产技术规程》</w:t>
      </w:r>
    </w:p>
    <w:p w14:paraId="5C6ED613">
      <w:pPr>
        <w:ind w:firstLine="640"/>
        <w:rPr>
          <w:rFonts w:ascii="仿宋_GB2312" w:hAnsi="仿宋_GB2312" w:cs="仿宋_GB2312"/>
          <w:szCs w:val="28"/>
        </w:rPr>
      </w:pPr>
      <w:r>
        <w:rPr>
          <w:rFonts w:hint="eastAsia" w:ascii="仿宋_GB2312" w:hAnsi="仿宋_GB2312" w:cs="仿宋_GB2312"/>
          <w:szCs w:val="28"/>
        </w:rPr>
        <w:t>《DB45/T 2605-2022  地理标志产品 横县茉莉花栽培技术规程》</w:t>
      </w:r>
    </w:p>
    <w:p w14:paraId="559DF6BB">
      <w:pPr>
        <w:ind w:firstLine="640"/>
        <w:rPr>
          <w:rFonts w:ascii="仿宋_GB2312" w:hAnsi="仿宋_GB2312" w:cs="仿宋_GB2312"/>
          <w:szCs w:val="28"/>
        </w:rPr>
      </w:pPr>
      <w:r>
        <w:rPr>
          <w:rFonts w:hint="eastAsia" w:ascii="仿宋_GB2312" w:hAnsi="仿宋_GB2312" w:cs="仿宋_GB2312"/>
          <w:szCs w:val="28"/>
        </w:rPr>
        <w:t>《DB45/T 1047-2014  地理标志产品 横县茉莉花茶》</w:t>
      </w:r>
    </w:p>
    <w:p w14:paraId="43EE0FC9">
      <w:pPr>
        <w:ind w:firstLine="643"/>
        <w:rPr>
          <w:rFonts w:ascii="仿宋_GB2312" w:hAnsi="仿宋_GB2312" w:cs="仿宋_GB2312"/>
          <w:b/>
          <w:szCs w:val="28"/>
        </w:rPr>
      </w:pPr>
      <w:r>
        <w:rPr>
          <w:rFonts w:hint="eastAsia" w:ascii="仿宋_GB2312" w:hAnsi="仿宋_GB2312" w:cs="仿宋_GB2312"/>
          <w:b/>
          <w:szCs w:val="28"/>
        </w:rPr>
        <w:t>（三）研讨确定标准特色、创新点和主体内容</w:t>
      </w:r>
    </w:p>
    <w:p w14:paraId="480266F2">
      <w:pPr>
        <w:ind w:firstLine="640"/>
        <w:rPr>
          <w:rFonts w:ascii="仿宋_GB2312" w:hAnsi="仿宋_GB2312" w:cs="仿宋_GB2312"/>
          <w:szCs w:val="28"/>
        </w:rPr>
      </w:pPr>
      <w:r>
        <w:rPr>
          <w:rFonts w:hint="eastAsia" w:ascii="仿宋_GB2312" w:hAnsi="仿宋_GB2312" w:cs="仿宋_GB2312"/>
          <w:szCs w:val="28"/>
        </w:rPr>
        <w:t>1、特色和创新点</w:t>
      </w:r>
    </w:p>
    <w:p w14:paraId="4E4BB4AB">
      <w:pPr>
        <w:ind w:firstLine="640"/>
        <w:rPr>
          <w:rFonts w:ascii="仿宋_GB2312" w:hAnsi="仿宋_GB2312" w:cs="仿宋_GB2312"/>
          <w:szCs w:val="28"/>
        </w:rPr>
      </w:pPr>
      <w:r>
        <w:rPr>
          <w:rFonts w:hint="eastAsia" w:ascii="仿宋_GB2312" w:hAnsi="仿宋_GB2312" w:cs="仿宋_GB2312"/>
          <w:szCs w:val="28"/>
        </w:rPr>
        <w:t>（1）标准最大的结构性创新在于没有制定“一刀切”的单一规范，而是创新性地设立了普通级（承诺达标合格级）、优级（绿色培育级）、特级（有机培育级）三个等级。这精准对应了当前茉莉花产业中不同规模、不同目标的生产主体（散户、合作社、龙头企业）的差异化现状。它为所有从业者提供了清晰的升级路径图：先达到安全合格的基准线，再向绿色、有机的高品质、高附加值方向努力。这种设计极大地增强了标准的普适性和引导性。</w:t>
      </w:r>
    </w:p>
    <w:p w14:paraId="37405B6F">
      <w:pPr>
        <w:ind w:firstLine="640"/>
        <w:rPr>
          <w:rFonts w:ascii="仿宋_GB2312" w:hAnsi="仿宋_GB2312" w:cs="仿宋_GB2312"/>
          <w:szCs w:val="28"/>
        </w:rPr>
      </w:pPr>
      <w:r>
        <w:rPr>
          <w:rFonts w:hint="eastAsia" w:ascii="仿宋_GB2312" w:hAnsi="仿宋_GB2312" w:cs="仿宋_GB2312"/>
          <w:szCs w:val="28"/>
        </w:rPr>
        <w:t>（2）标准没有将数字化作为空洞的口号，而是将其作为可审核的关键技术要求。从合格级的“宜使用”到绿色、特级（有机培育级）的“应接入/应全面实现”，数字化成为了等级评定的核心指标之一。这确保了标准的前瞻性与可落地性，旨在通过标准推动生产数据的在线化，为真正的精准农业和智能决策奠定基础。</w:t>
      </w:r>
    </w:p>
    <w:p w14:paraId="3509BF03">
      <w:pPr>
        <w:ind w:firstLine="640"/>
        <w:rPr>
          <w:rFonts w:ascii="仿宋_GB2312" w:hAnsi="仿宋_GB2312" w:cs="仿宋_GB2312"/>
          <w:szCs w:val="28"/>
        </w:rPr>
      </w:pPr>
      <w:r>
        <w:rPr>
          <w:rFonts w:hint="eastAsia" w:ascii="仿宋_GB2312" w:hAnsi="仿宋_GB2312" w:cs="仿宋_GB2312"/>
          <w:szCs w:val="28"/>
        </w:rPr>
        <w:t>（3）针对同一基地可能同时生产不同等级产品的现实情况，标准在优级（绿色培育级）和特级（有机培育级）要求中，明确提出了严格的隔离管理制度。要求对工具、设施、仓储、记录进行分开并清晰标识，这解决了混合生产模式下最容易发生的交叉污染和诚信风险，保障了高标准产品的纯粹性，提升了认证的严肃性和市场信誉。</w:t>
      </w:r>
    </w:p>
    <w:p w14:paraId="46EEAFF7">
      <w:pPr>
        <w:ind w:firstLine="640"/>
        <w:rPr>
          <w:rFonts w:ascii="仿宋_GB2312" w:hAnsi="仿宋_GB2312" w:cs="仿宋_GB2312"/>
          <w:szCs w:val="28"/>
        </w:rPr>
      </w:pPr>
      <w:r>
        <w:rPr>
          <w:rFonts w:hint="eastAsia" w:ascii="仿宋_GB2312" w:hAnsi="仿宋_GB2312" w:cs="仿宋_GB2312"/>
          <w:szCs w:val="28"/>
        </w:rPr>
        <w:t>2、主体内容</w:t>
      </w:r>
    </w:p>
    <w:p w14:paraId="7437CFE4">
      <w:pPr>
        <w:ind w:firstLine="640"/>
        <w:rPr>
          <w:rFonts w:ascii="仿宋_GB2312" w:hAnsi="仿宋_GB2312" w:cs="仿宋_GB2312"/>
          <w:szCs w:val="28"/>
        </w:rPr>
      </w:pPr>
      <w:r>
        <w:rPr>
          <w:rFonts w:hint="eastAsia" w:ascii="仿宋_GB2312" w:hAnsi="仿宋_GB2312" w:cs="仿宋_GB2312"/>
          <w:szCs w:val="28"/>
        </w:rPr>
        <w:t>标准编制工作组在对收集的资料进行整理研究之后，准编制工作组召开了标准编制会议，对标准的整体框架结构进行了研究，并对标准的关键性内容进行了初步探讨。经过研究，标准的主体内容确定为术语和定义、等级划分、普通级（承诺达标合格级）基地要求、优级（绿色培育级）基地要求、特级（有机培育级）基地要求、等级评定管理。</w:t>
      </w:r>
    </w:p>
    <w:p w14:paraId="580088C1">
      <w:pPr>
        <w:ind w:firstLine="643"/>
        <w:rPr>
          <w:rFonts w:ascii="仿宋_GB2312" w:hAnsi="仿宋_GB2312" w:cs="仿宋_GB2312"/>
          <w:b/>
          <w:szCs w:val="28"/>
        </w:rPr>
      </w:pPr>
      <w:r>
        <w:rPr>
          <w:rFonts w:hint="eastAsia" w:ascii="仿宋_GB2312" w:hAnsi="仿宋_GB2312" w:cs="仿宋_GB2312"/>
          <w:b/>
          <w:szCs w:val="28"/>
        </w:rPr>
        <w:t>（四）调研及形成草案、征求意见稿</w:t>
      </w:r>
    </w:p>
    <w:p w14:paraId="20F90067">
      <w:pPr>
        <w:ind w:firstLine="640"/>
        <w:rPr>
          <w:rFonts w:ascii="仿宋_GB2312" w:hAnsi="仿宋_GB2312" w:cs="仿宋_GB2312"/>
          <w:szCs w:val="28"/>
        </w:rPr>
      </w:pPr>
      <w:r>
        <w:rPr>
          <w:rFonts w:hint="eastAsia" w:ascii="仿宋_GB2312" w:hAnsi="仿宋_GB2312" w:cs="仿宋_GB2312"/>
          <w:szCs w:val="28"/>
        </w:rPr>
        <w:t>2025年12月，标准起草工作小组前往横州市茉莉花产业服务中心、横州市现代农业产业园管理中心、横州市花茶协会等单位进行了广泛调研工作，查阅了大量的国内外文献资料，对横县茉莉花种植基地管理的前人研究成果进行系统总结。形成了标准的基本构架，对主要内容进行了讨论并对项目的工作进行了部署和安排。</w:t>
      </w:r>
    </w:p>
    <w:p w14:paraId="062AE107">
      <w:pPr>
        <w:ind w:firstLine="640"/>
        <w:rPr>
          <w:rFonts w:ascii="仿宋_GB2312" w:hAnsi="仿宋_GB2312" w:cs="仿宋_GB2312"/>
          <w:szCs w:val="28"/>
        </w:rPr>
      </w:pPr>
      <w:r>
        <w:rPr>
          <w:rFonts w:hint="eastAsia" w:ascii="仿宋_GB2312" w:hAnsi="仿宋_GB2312" w:cs="仿宋_GB2312"/>
          <w:szCs w:val="28"/>
        </w:rPr>
        <w:t>2025年1月～3月，在前期工作的基础之上，通过理清逻辑脉络，整合已有的参考资料中有关横县茉莉花种植基地管理要求，并结合横县茉莉花种植基地管理实际要求的基础上，按照简化、统一等原则编制完成团体标准《横县茉莉花种植基地管理规范》（草案）。</w:t>
      </w:r>
    </w:p>
    <w:p w14:paraId="4FEA33A6">
      <w:pPr>
        <w:ind w:firstLine="640"/>
        <w:rPr>
          <w:rFonts w:ascii="仿宋_GB2312" w:hAnsi="仿宋_GB2312" w:cs="仿宋_GB2312"/>
          <w:szCs w:val="28"/>
        </w:rPr>
      </w:pPr>
      <w:r>
        <w:rPr>
          <w:rFonts w:hint="eastAsia" w:ascii="仿宋_GB2312" w:hAnsi="仿宋_GB2312" w:cs="仿宋_GB2312"/>
          <w:szCs w:val="28"/>
        </w:rPr>
        <w:t>2026年4月～6月，标准起草工作组组织横县南方茶厂/广西莉香茶业集团有限公司、广西金花茶业有限公司、广西香茹怡茉茶业有限公司、横州市香茹怡茉茶饮有限公司、横县清雷茶业有限公司、横州市长海茶厂、广西壮族自治区横县郁江茶厂、广西隆盛源茶业有限公司、广西横县福禄祯茶业有限公司、横县福民王茶业有限公司、广西欣福茗食品有限公司、广西顺来茶业有限公司、广西横县北京张一元茶业有限责任公司、广西横县泓韵茶业有限公司、广西祥园茗品茶业有限公司、广西中肯茶业有限公司、横县桔扬茶业有限公司、横县华成茶厂、广西横县妙莲茶业有限公司、广西横县阳春茶叶有限公司、广西横县鑫通茶业有限公司、横县杰龙茶厂、横县中天茶厂、广西尚达茶业有限公司、广西南山白毛茶茶业有限公司等25家相关单位召开座谈会进行讨论，并实际征求意见，通过收集反馈了大量意见，标准编制工作组多次召开会议，对标准草案进行了反复修改和研究讨论。进一步讨论完善标准草案，形成团体标准《横县茉莉花种植基地管理规范》（征求意见稿）和（征求意见稿）编制说明。</w:t>
      </w:r>
    </w:p>
    <w:p w14:paraId="2A7325BA">
      <w:pPr>
        <w:ind w:firstLine="0" w:firstLineChars="0"/>
        <w:jc w:val="center"/>
        <w:rPr>
          <w:rFonts w:ascii="仿宋_GB2312" w:hAnsi="仿宋_GB2312" w:cs="仿宋_GB2312"/>
          <w:szCs w:val="28"/>
        </w:rPr>
      </w:pPr>
      <w:r>
        <w:rPr>
          <w:rFonts w:ascii="仿宋_GB2312" w:hAnsi="仿宋_GB2312" w:cs="仿宋_GB2312"/>
          <w:szCs w:val="28"/>
        </w:rPr>
        <w:drawing>
          <wp:inline distT="0" distB="0" distL="0" distR="0">
            <wp:extent cx="2638425" cy="1978660"/>
            <wp:effectExtent l="0" t="0" r="0" b="2540"/>
            <wp:docPr id="14" name="图片 14" descr="D:\我的文档\xwechat_files\wxid_v3j52f42taun22_f98f\temp\RWTemp\2026-03\b3955a6226d9c6e0323b0b56e6674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D:\我的文档\xwechat_files\wxid_v3j52f42taun22_f98f\temp\RWTemp\2026-03\b3955a6226d9c6e0323b0b56e667408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44872" cy="1983653"/>
                    </a:xfrm>
                    <a:prstGeom prst="rect">
                      <a:avLst/>
                    </a:prstGeom>
                    <a:noFill/>
                    <a:ln>
                      <a:noFill/>
                    </a:ln>
                  </pic:spPr>
                </pic:pic>
              </a:graphicData>
            </a:graphic>
          </wp:inline>
        </w:drawing>
      </w:r>
      <w:r>
        <w:rPr>
          <w:rFonts w:ascii="仿宋_GB2312" w:hAnsi="仿宋_GB2312" w:cs="仿宋_GB2312"/>
          <w:szCs w:val="28"/>
        </w:rPr>
        <w:drawing>
          <wp:inline distT="0" distB="0" distL="0" distR="0">
            <wp:extent cx="2640965" cy="1981200"/>
            <wp:effectExtent l="0" t="0" r="6985" b="0"/>
            <wp:docPr id="15" name="图片 15" descr="D:\我的文档\xwechat_files\wxid_v3j52f42taun22_f98f\temp\RWTemp\2026-03\3c231971b0531220b5abcdf743c2b59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D:\我的文档\xwechat_files\wxid_v3j52f42taun22_f98f\temp\RWTemp\2026-03\3c231971b0531220b5abcdf743c2b59e.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48331" cy="1986249"/>
                    </a:xfrm>
                    <a:prstGeom prst="rect">
                      <a:avLst/>
                    </a:prstGeom>
                    <a:noFill/>
                    <a:ln>
                      <a:noFill/>
                    </a:ln>
                  </pic:spPr>
                </pic:pic>
              </a:graphicData>
            </a:graphic>
          </wp:inline>
        </w:drawing>
      </w:r>
    </w:p>
    <w:p w14:paraId="1E65B4E9">
      <w:pPr>
        <w:ind w:firstLine="0" w:firstLineChars="0"/>
        <w:jc w:val="center"/>
        <w:rPr>
          <w:rFonts w:ascii="仿宋_GB2312" w:hAnsi="仿宋_GB2312" w:cs="仿宋_GB2312"/>
          <w:szCs w:val="28"/>
        </w:rPr>
      </w:pPr>
      <w:r>
        <w:rPr>
          <w:rFonts w:ascii="仿宋_GB2312" w:hAnsi="仿宋_GB2312" w:cs="仿宋_GB2312"/>
          <w:szCs w:val="28"/>
        </w:rPr>
        <w:drawing>
          <wp:inline distT="0" distB="0" distL="0" distR="0">
            <wp:extent cx="5221605" cy="2352675"/>
            <wp:effectExtent l="0" t="0" r="0" b="0"/>
            <wp:docPr id="1" name="图片 1" descr="D:\我的文档\xwechat_files\wxid_v3j52f42taun22_f98f\temp\RWTemp\2026-03\0a0beaca041a5136971deab25f190bf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我的文档\xwechat_files\wxid_v3j52f42taun22_f98f\temp\RWTemp\2026-03\0a0beaca041a5136971deab25f190bf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23765" cy="2353565"/>
                    </a:xfrm>
                    <a:prstGeom prst="rect">
                      <a:avLst/>
                    </a:prstGeom>
                    <a:noFill/>
                    <a:ln>
                      <a:noFill/>
                    </a:ln>
                  </pic:spPr>
                </pic:pic>
              </a:graphicData>
            </a:graphic>
          </wp:inline>
        </w:drawing>
      </w:r>
    </w:p>
    <w:p w14:paraId="49DA6046">
      <w:pPr>
        <w:ind w:firstLine="0" w:firstLineChars="0"/>
        <w:jc w:val="center"/>
        <w:rPr>
          <w:rFonts w:ascii="仿宋_GB2312" w:hAnsi="仿宋_GB2312" w:cs="仿宋_GB2312"/>
          <w:szCs w:val="28"/>
        </w:rPr>
      </w:pPr>
      <w:r>
        <w:rPr>
          <w:rFonts w:hint="eastAsia" w:ascii="仿宋_GB2312" w:hAnsi="仿宋_GB2312" w:cs="仿宋_GB2312"/>
          <w:szCs w:val="28"/>
        </w:rPr>
        <w:t>编制组调研相关图片</w:t>
      </w:r>
    </w:p>
    <w:p w14:paraId="2870A67B">
      <w:pPr>
        <w:autoSpaceDE w:val="0"/>
        <w:autoSpaceDN w:val="0"/>
        <w:adjustRightInd w:val="0"/>
        <w:ind w:firstLine="640"/>
        <w:jc w:val="left"/>
        <w:rPr>
          <w:rFonts w:ascii="黑体" w:hAnsi="黑体" w:eastAsia="黑体" w:cs="仿宋_GB2312"/>
          <w:bCs/>
          <w:szCs w:val="32"/>
        </w:rPr>
      </w:pPr>
      <w:bookmarkStart w:id="3" w:name="_Toc526940083"/>
      <w:r>
        <w:rPr>
          <w:rFonts w:hint="eastAsia" w:ascii="黑体" w:hAnsi="黑体" w:eastAsia="黑体" w:cs="仿宋_GB2312"/>
          <w:bCs/>
          <w:szCs w:val="32"/>
        </w:rPr>
        <w:t>四、</w:t>
      </w:r>
      <w:bookmarkEnd w:id="3"/>
      <w:r>
        <w:rPr>
          <w:rFonts w:hint="eastAsia" w:ascii="黑体" w:hAnsi="黑体" w:eastAsia="黑体" w:cs="仿宋_GB2312"/>
          <w:bCs/>
          <w:szCs w:val="32"/>
        </w:rPr>
        <w:t>制定标准的原则和依据，与现行法律、法规的关系，与有关国家标准、行业标准的协调情况</w:t>
      </w:r>
    </w:p>
    <w:p w14:paraId="20DB6843">
      <w:pPr>
        <w:pStyle w:val="11"/>
        <w:ind w:firstLine="0" w:firstLineChars="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（一）编制原则</w:t>
      </w:r>
    </w:p>
    <w:p w14:paraId="30565713">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1、实用性原则</w:t>
      </w:r>
    </w:p>
    <w:p w14:paraId="49D7D76F">
      <w:pPr>
        <w:ind w:firstLine="640"/>
        <w:rPr>
          <w:rFonts w:ascii="仿宋_GB2312" w:hAnsi="仿宋_GB2312" w:cs="仿宋_GB2312"/>
          <w:szCs w:val="28"/>
        </w:rPr>
      </w:pPr>
      <w:r>
        <w:rPr>
          <w:rFonts w:hint="eastAsia" w:ascii="仿宋_GB2312" w:hAnsi="仿宋_GB2312" w:cs="仿宋_GB2312"/>
          <w:szCs w:val="28"/>
        </w:rPr>
        <w:t>本文件是在充分收集相关资料和文献，分析横县茉莉花种植基地管理的测定当前现状，在现有相关横县茉莉花种植基地管理要求的基础上，结合编制单位多年相关经验而总结起草的，符合当前横县茉莉花种植基地管理发展的方向，具有较强的实用性和可操作性。</w:t>
      </w:r>
    </w:p>
    <w:p w14:paraId="4C14B6CE">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2、协调性原则</w:t>
      </w:r>
    </w:p>
    <w:p w14:paraId="7019C71E">
      <w:pPr>
        <w:ind w:firstLine="640"/>
        <w:rPr>
          <w:rFonts w:ascii="仿宋_GB2312" w:hAnsi="仿宋_GB2312" w:cs="仿宋_GB2312"/>
          <w:szCs w:val="28"/>
        </w:rPr>
      </w:pPr>
      <w:r>
        <w:rPr>
          <w:rFonts w:hint="eastAsia" w:ascii="仿宋_GB2312" w:hAnsi="仿宋_GB2312" w:cs="仿宋_GB2312"/>
          <w:szCs w:val="28"/>
        </w:rPr>
        <w:t>本文件编写过程中注意了与横县茉莉花种植基地管理的相关法律法规的协调问题，在内容上与现行法律法规、标准协调一致。</w:t>
      </w:r>
    </w:p>
    <w:p w14:paraId="531365B8">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3、规范性原则</w:t>
      </w:r>
    </w:p>
    <w:p w14:paraId="5B22F9C8">
      <w:pPr>
        <w:ind w:firstLine="640"/>
        <w:rPr>
          <w:rFonts w:ascii="仿宋_GB2312" w:hAnsi="仿宋_GB2312" w:cs="仿宋_GB2312"/>
          <w:szCs w:val="28"/>
        </w:rPr>
      </w:pPr>
      <w:r>
        <w:rPr>
          <w:rFonts w:hint="eastAsia" w:ascii="仿宋_GB2312" w:hAnsi="仿宋_GB2312" w:cs="仿宋_GB2312"/>
          <w:szCs w:val="28"/>
        </w:rPr>
        <w:t>本文件严格参照GB/T 1.1—2020《标准化工作导则  第1部分：标准化文件的结构和起草规则》编写本标准的内容，保证标准的编写质量。</w:t>
      </w:r>
    </w:p>
    <w:p w14:paraId="101342A9">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4、前瞻性原则</w:t>
      </w:r>
    </w:p>
    <w:p w14:paraId="728BE3EE">
      <w:pPr>
        <w:ind w:firstLine="640"/>
        <w:rPr>
          <w:rFonts w:ascii="仿宋_GB2312" w:hAnsi="仿宋_GB2312" w:cs="仿宋_GB2312"/>
          <w:szCs w:val="28"/>
        </w:rPr>
      </w:pPr>
      <w:r>
        <w:rPr>
          <w:rFonts w:hint="eastAsia" w:ascii="仿宋_GB2312" w:hAnsi="仿宋_GB2312" w:cs="仿宋_GB2312"/>
          <w:szCs w:val="28"/>
        </w:rPr>
        <w:t>本文件在兼顾当前区内横县茉莉花种植基地管理的现实情况的同时，还考虑到了横县茉莉花种植基地管理快速发展的趋势和需要，在标准中体现了个别特色性、前瞻性和先进性条款，作为对横县茉莉花种植基地管理工作发展的指导。</w:t>
      </w:r>
    </w:p>
    <w:p w14:paraId="095360A9">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（二）编制依据</w:t>
      </w:r>
    </w:p>
    <w:p w14:paraId="2C34D4E5">
      <w:pPr>
        <w:ind w:firstLine="640"/>
        <w:rPr>
          <w:rFonts w:ascii="仿宋_GB2312" w:hAnsi="仿宋_GB2312" w:cs="仿宋_GB2312"/>
          <w:szCs w:val="32"/>
        </w:rPr>
      </w:pPr>
      <w:r>
        <w:rPr>
          <w:rFonts w:hint="eastAsia" w:ascii="仿宋_GB2312" w:hAnsi="仿宋_GB2312" w:cs="仿宋_GB2312"/>
          <w:szCs w:val="32"/>
        </w:rPr>
        <w:t>本标准严格按照GB/T 1.1—2020《标准化工作导则  第1部分：标准化文件的结构和起草规则》的规则起草，标准主要内容参考相关标准文件并结合起草单位多年的相关经验和实践验证情况总结进行起草。</w:t>
      </w:r>
    </w:p>
    <w:p w14:paraId="1D21E542">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（三）与现行法律、法规的关系，与有关国家标准、行业标准的协调情况</w:t>
      </w:r>
    </w:p>
    <w:p w14:paraId="6D57B3CB">
      <w:pPr>
        <w:ind w:firstLine="640"/>
        <w:rPr>
          <w:rFonts w:ascii="仿宋_GB2312" w:hAnsi="仿宋_GB2312" w:cs="仿宋_GB2312"/>
          <w:szCs w:val="32"/>
        </w:rPr>
      </w:pPr>
      <w:r>
        <w:rPr>
          <w:rFonts w:hint="eastAsia" w:ascii="仿宋_GB2312" w:hAnsi="仿宋_GB2312" w:cs="仿宋_GB2312"/>
          <w:szCs w:val="32"/>
        </w:rPr>
        <w:t>本编制工作组承诺本标准内容与各项指标不违反相关法律法规要求，且不低于国家强制性标准、推荐性国家标准和行业标准要求。</w:t>
      </w:r>
    </w:p>
    <w:p w14:paraId="6FA4BF6A">
      <w:pPr>
        <w:ind w:firstLine="640"/>
        <w:rPr>
          <w:rFonts w:ascii="仿宋_GB2312" w:hAnsi="仿宋_GB2312" w:cs="仿宋_GB2312"/>
          <w:szCs w:val="32"/>
        </w:rPr>
      </w:pPr>
      <w:r>
        <w:rPr>
          <w:rFonts w:hint="eastAsia" w:ascii="仿宋_GB2312" w:hAnsi="仿宋_GB2312" w:cs="仿宋_GB2312"/>
          <w:szCs w:val="28"/>
        </w:rPr>
        <w:t>经查阅，目前暂无“横县茉莉花种植基地管理规范” “茉莉花种植基地”相关的标准，与“种植基地管理”相关的标准有：《SN/T 2955-2011  出境水果种植基地农残控制管理规范》《T/XFHS 002—2020</w:t>
      </w:r>
      <w:r>
        <w:rPr>
          <w:rFonts w:hint="eastAsia" w:ascii="仿宋_GB2312" w:hAnsi="仿宋_GB2312" w:cs="仿宋_GB2312"/>
          <w:szCs w:val="28"/>
        </w:rPr>
        <w:tab/>
      </w:r>
      <w:r>
        <w:rPr>
          <w:rFonts w:hint="eastAsia" w:ascii="仿宋_GB2312" w:hAnsi="仿宋_GB2312" w:cs="仿宋_GB2312"/>
          <w:szCs w:val="28"/>
        </w:rPr>
        <w:t>红薯种植基地管理规范》等。</w:t>
      </w:r>
    </w:p>
    <w:p w14:paraId="2EFCED85">
      <w:pPr>
        <w:ind w:firstLine="0" w:firstLineChars="0"/>
        <w:rPr>
          <w:rFonts w:ascii="仿宋_GB2312" w:hAnsi="仿宋_GB2312" w:cs="仿宋_GB2312"/>
          <w:szCs w:val="28"/>
        </w:rPr>
      </w:pPr>
      <w:r>
        <w:rPr>
          <w:rFonts w:hint="eastAsia" w:ascii="仿宋_GB2312" w:hAnsi="仿宋_GB2312" w:cs="仿宋_GB2312"/>
          <w:szCs w:val="28"/>
        </w:rPr>
        <w:t>分析如下：上述标准是针对出境水果、红薯等不同植物的种植基地管理要求的，均未涉及茉莉花种植基地的内容，现有标准均无法指导从事茉莉花种植的企业、农民专业合作社、家庭农场等生产经营主体进行合格级、优级（绿色培育级）、特级（有机培育级）的分级认定与管理，因此，制定团体标准《横县茉莉花种植基地管理规范》具有紧迫性和创新性。</w:t>
      </w:r>
    </w:p>
    <w:p w14:paraId="6B1256F2">
      <w:pPr>
        <w:autoSpaceDE w:val="0"/>
        <w:autoSpaceDN w:val="0"/>
        <w:adjustRightInd w:val="0"/>
        <w:ind w:firstLine="640"/>
        <w:jc w:val="left"/>
        <w:rPr>
          <w:rFonts w:ascii="黑体" w:hAnsi="黑体" w:eastAsia="黑体" w:cs="仿宋_GB2312"/>
          <w:szCs w:val="32"/>
        </w:rPr>
      </w:pPr>
      <w:bookmarkStart w:id="4" w:name="_Toc526940084"/>
      <w:r>
        <w:rPr>
          <w:rFonts w:hint="eastAsia" w:ascii="黑体" w:hAnsi="黑体" w:eastAsia="黑体" w:cs="仿宋_GB2312"/>
          <w:szCs w:val="32"/>
        </w:rPr>
        <w:t>五、</w:t>
      </w:r>
      <w:bookmarkEnd w:id="4"/>
      <w:r>
        <w:rPr>
          <w:rFonts w:hint="eastAsia" w:ascii="黑体" w:hAnsi="黑体" w:eastAsia="黑体" w:cs="仿宋_GB2312"/>
          <w:szCs w:val="32"/>
        </w:rPr>
        <w:t>主要条款的说明</w:t>
      </w:r>
    </w:p>
    <w:p w14:paraId="0AC35301">
      <w:pPr>
        <w:ind w:firstLine="640"/>
        <w:rPr>
          <w:rFonts w:hint="eastAsia" w:ascii="仿宋_GB2312" w:hAnsi="仿宋_GB2312" w:cs="仿宋_GB2312"/>
          <w:szCs w:val="32"/>
          <w:lang w:val="zh-CN"/>
        </w:rPr>
      </w:pPr>
      <w:r>
        <w:rPr>
          <w:rFonts w:hint="eastAsia" w:ascii="仿宋_GB2312" w:hAnsi="仿宋_GB2312" w:cs="仿宋_GB2312"/>
          <w:szCs w:val="32"/>
          <w:lang w:val="zh-CN"/>
        </w:rPr>
        <w:t>团体标准《</w:t>
      </w:r>
      <w:r>
        <w:rPr>
          <w:rFonts w:hint="eastAsia" w:ascii="仿宋_GB2312" w:hAnsi="仿宋_GB2312" w:cs="仿宋_GB2312"/>
          <w:szCs w:val="28"/>
        </w:rPr>
        <w:t>横县茉莉花种植基地管理规范</w:t>
      </w:r>
      <w:r>
        <w:rPr>
          <w:rFonts w:hint="eastAsia" w:ascii="仿宋_GB2312" w:hAnsi="仿宋_GB2312" w:cs="仿宋_GB2312"/>
          <w:szCs w:val="32"/>
          <w:lang w:val="zh-CN"/>
        </w:rPr>
        <w:t>》的主要内容包括：</w:t>
      </w:r>
      <w:r>
        <w:rPr>
          <w:rFonts w:hint="eastAsia" w:ascii="仿宋_GB2312" w:hAnsi="仿宋_GB2312" w:cs="仿宋_GB2312"/>
          <w:szCs w:val="28"/>
        </w:rPr>
        <w:t>术语和定义、等级划分、普通级（承诺达标合格级）基地要求、优级（绿色培育级）基地要求、特级（有机培育级）基地要求、等级评定、监督与认证管理</w:t>
      </w:r>
      <w:r>
        <w:rPr>
          <w:rFonts w:hint="eastAsia" w:ascii="仿宋_GB2312" w:hAnsi="仿宋_GB2312" w:cs="仿宋_GB2312"/>
          <w:szCs w:val="32"/>
          <w:lang w:val="zh-CN"/>
        </w:rPr>
        <w:t>。本文件主要内容及依据来源说明如下：</w:t>
      </w:r>
    </w:p>
    <w:p w14:paraId="35F26FBD">
      <w:pPr>
        <w:ind w:firstLine="640"/>
        <w:rPr>
          <w:rFonts w:hint="eastAsia" w:ascii="仿宋_GB2312" w:hAnsi="仿宋_GB2312" w:cs="仿宋_GB2312"/>
          <w:szCs w:val="32"/>
          <w:lang w:val="zh-CN"/>
        </w:rPr>
      </w:pPr>
      <w:r>
        <w:rPr>
          <w:rFonts w:hint="eastAsia" w:ascii="仿宋_GB2312" w:hAnsi="仿宋_GB2312" w:cs="仿宋_GB2312"/>
          <w:szCs w:val="32"/>
          <w:lang w:val="zh-CN"/>
        </w:rPr>
        <w:t>横州市素有“世界茉莉花都”的美誉，是全球最大的茉莉花种植和加工基地。茉莉花种植区域覆盖17个乡镇，涉及农户约6.9万户，约34万花农靠种植茉莉花稳定增收。以茉莉花为主产业的校椅镇石井村，连续两年入选全国乡村特色产业超亿元村，横州茉莉花产业带农振兴案例入选全球减贫优秀案例。</w:t>
      </w:r>
    </w:p>
    <w:p w14:paraId="5CC32CF4">
      <w:pPr>
        <w:ind w:firstLine="640"/>
        <w:rPr>
          <w:rFonts w:ascii="仿宋_GB2312" w:hAnsi="仿宋_GB2312" w:cs="仿宋_GB2312"/>
          <w:szCs w:val="32"/>
          <w:lang w:val="zh-CN"/>
        </w:rPr>
      </w:pPr>
      <w:r>
        <w:rPr>
          <w:rFonts w:hint="eastAsia" w:ascii="仿宋_GB2312" w:hAnsi="仿宋_GB2312" w:cs="仿宋_GB2312"/>
          <w:szCs w:val="32"/>
          <w:lang w:val="zh-CN"/>
        </w:rPr>
        <w:t>横州市已形成以国家现代农业产业园为核心、农户流转连片种植为辅的“一面多点”茉莉花种植布局。国家现代农业产业园于2017年入选首批国家现代农业产业园创建名单，总规划面积253平方公里，覆盖3个乡镇28个行政村，核心区位于中华茉莉园，种植基地广泛分布在横州镇、校椅镇等12个乡镇。中华茉莉园作为产业核心示范区，每年4月至10月采收不断，已成为茉莉花产业的重要展示窗口。规划方面，横州市以校椅镇、横州镇为核心，打造茉莉花“1＋9”产业集群，覆盖石井村等20余个行政村，建设中华茉莉园、茉莉极萃园等核心载体。本标准主要基于横州市茉莉花种植基地的现状进行总结明确。</w:t>
      </w:r>
    </w:p>
    <w:p w14:paraId="02425CB4">
      <w:pPr>
        <w:ind w:firstLine="643"/>
        <w:rPr>
          <w:rFonts w:ascii="仿宋_GB2312" w:hAnsi="仿宋_GB2312" w:cs="仿宋_GB2312"/>
          <w:b/>
          <w:bCs/>
          <w:szCs w:val="32"/>
        </w:rPr>
      </w:pPr>
      <w:r>
        <w:rPr>
          <w:rFonts w:hint="eastAsia" w:ascii="仿宋_GB2312" w:hAnsi="仿宋_GB2312" w:cs="仿宋_GB2312"/>
          <w:b/>
          <w:bCs/>
          <w:szCs w:val="32"/>
        </w:rPr>
        <w:t>(一）术语和定义</w:t>
      </w:r>
    </w:p>
    <w:p w14:paraId="43104F26">
      <w:pPr>
        <w:ind w:firstLine="643"/>
        <w:rPr>
          <w:rFonts w:ascii="仿宋_GB2312" w:hAnsi="仿宋_GB2312" w:cs="仿宋_GB2312"/>
          <w:szCs w:val="32"/>
        </w:rPr>
      </w:pPr>
      <w:r>
        <w:rPr>
          <w:rFonts w:hint="eastAsia" w:ascii="仿宋_GB2312" w:hAnsi="仿宋_GB2312" w:cs="仿宋_GB2312"/>
          <w:b/>
          <w:szCs w:val="32"/>
          <w:lang w:val="zh-CN"/>
        </w:rPr>
        <w:t>茉莉花种植基地</w:t>
      </w:r>
      <w:r>
        <w:rPr>
          <w:rFonts w:hint="eastAsia" w:ascii="仿宋_GB2312" w:hAnsi="仿宋_GB2312" w:cs="仿宋_GB2312"/>
          <w:szCs w:val="32"/>
        </w:rPr>
        <w:t>：本标准将横县茉莉花种植基地划分为普通级（承诺达标合格级）、优级（绿色培育级）和特级（有机培育级）三个等级，并对各等级分别提出了差异化的管理要求。因此，须明确“茉莉花种植基地”的定义，使标准的使用者能够准确理解标准的适用范围和对象，避免因概念模糊而导致标准执行偏差。同时</w:t>
      </w:r>
      <w:r>
        <w:rPr>
          <w:rFonts w:hint="eastAsia" w:ascii="仿宋_GB2312" w:hAnsi="仿宋_GB2312" w:cs="仿宋_GB2312"/>
          <w:szCs w:val="32"/>
          <w:lang w:val="zh-CN"/>
        </w:rPr>
        <w:t>依据《南宁横州市茉莉花保护发展条例》第十二条：按照相关标准种植并达到一定规模的种植区域，经审核可认定为茉莉花种植基地，并给予技术扶持和资金补助，明确其定义为：</w:t>
      </w:r>
      <w:r>
        <w:rPr>
          <w:rFonts w:hint="eastAsia" w:ascii="仿宋_GB2312" w:hAnsi="仿宋_GB2312" w:cs="仿宋_GB2312"/>
          <w:szCs w:val="32"/>
        </w:rPr>
        <w:t>由同一生产经营主体（企业、合作社、家庭农场等）统一管理，具有明确边界和一定种植规模，用于持续、集中生产茉莉花的种植区域。。</w:t>
      </w:r>
    </w:p>
    <w:p w14:paraId="7B053EB5">
      <w:pPr>
        <w:ind w:firstLine="0" w:firstLineChars="0"/>
        <w:jc w:val="center"/>
        <w:rPr>
          <w:rFonts w:ascii="仿宋_GB2312" w:hAnsi="仿宋_GB2312" w:cs="仿宋_GB2312"/>
          <w:b/>
          <w:szCs w:val="32"/>
        </w:rPr>
      </w:pPr>
      <w:r>
        <w:rPr>
          <w:rFonts w:ascii="仿宋_GB2312" w:hAnsi="仿宋_GB2312" w:cs="仿宋_GB2312"/>
          <w:b/>
          <w:szCs w:val="32"/>
        </w:rPr>
        <w:drawing>
          <wp:inline distT="0" distB="0" distL="0" distR="0">
            <wp:extent cx="4050665" cy="3037840"/>
            <wp:effectExtent l="0" t="0" r="6985" b="0"/>
            <wp:docPr id="2" name="图片 2" descr="D:\我的文档\xwechat_files\wxid_v3j52f42taun22_f98f\temp\RWTemp\2026-03\1ca9982a907377aeae4595d6c0d50a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我的文档\xwechat_files\wxid_v3j52f42taun22_f98f\temp\RWTemp\2026-03\1ca9982a907377aeae4595d6c0d50a0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57027" cy="3042770"/>
                    </a:xfrm>
                    <a:prstGeom prst="rect">
                      <a:avLst/>
                    </a:prstGeom>
                    <a:noFill/>
                    <a:ln>
                      <a:noFill/>
                    </a:ln>
                  </pic:spPr>
                </pic:pic>
              </a:graphicData>
            </a:graphic>
          </wp:inline>
        </w:drawing>
      </w:r>
    </w:p>
    <w:p w14:paraId="220E3367">
      <w:pPr>
        <w:ind w:firstLine="0" w:firstLineChars="0"/>
        <w:jc w:val="center"/>
        <w:rPr>
          <w:rFonts w:ascii="仿宋_GB2312" w:hAnsi="仿宋_GB2312" w:cs="仿宋_GB2312"/>
          <w:szCs w:val="32"/>
        </w:rPr>
      </w:pPr>
      <w:r>
        <w:rPr>
          <w:rFonts w:hint="eastAsia" w:ascii="仿宋_GB2312" w:hAnsi="仿宋_GB2312" w:cs="仿宋_GB2312"/>
          <w:szCs w:val="32"/>
        </w:rPr>
        <w:t>茉莉花种植基地图片</w:t>
      </w:r>
    </w:p>
    <w:p w14:paraId="7AF33D5A">
      <w:pPr>
        <w:ind w:firstLine="643"/>
        <w:rPr>
          <w:rFonts w:ascii="仿宋_GB2312" w:hAnsi="仿宋_GB2312" w:cs="仿宋_GB2312"/>
          <w:b/>
          <w:bCs/>
          <w:szCs w:val="32"/>
        </w:rPr>
      </w:pPr>
      <w:r>
        <w:rPr>
          <w:rFonts w:hint="eastAsia" w:ascii="仿宋_GB2312" w:hAnsi="仿宋_GB2312" w:cs="仿宋_GB2312"/>
          <w:b/>
          <w:bCs/>
          <w:szCs w:val="32"/>
        </w:rPr>
        <w:t>(二）等级划分</w:t>
      </w:r>
    </w:p>
    <w:p w14:paraId="04B4EB5A">
      <w:pPr>
        <w:autoSpaceDE w:val="0"/>
        <w:autoSpaceDN w:val="0"/>
        <w:adjustRightInd w:val="0"/>
        <w:ind w:firstLine="640"/>
        <w:rPr>
          <w:rFonts w:ascii="仿宋_GB2312" w:hAnsi="仿宋_GB2312" w:cs="仿宋_GB2312"/>
          <w:szCs w:val="32"/>
          <w:lang w:val="zh-CN"/>
        </w:rPr>
      </w:pPr>
      <w:bookmarkStart w:id="5" w:name="_Toc526940086"/>
      <w:r>
        <w:rPr>
          <w:rFonts w:hint="eastAsia" w:ascii="仿宋_GB2312" w:hAnsi="仿宋_GB2312" w:cs="仿宋_GB2312"/>
          <w:szCs w:val="32"/>
          <w:lang w:val="zh-CN"/>
        </w:rPr>
        <w:t>开展茉莉花种植基地等级划分，是贯彻落实国家政策、建立茉莉花品质评价体系的具体举措，2025年，农业农村部等10部门联合印发《促进农产品消费实施方案》，明确提出推进品质评价和质量分级，推动农产品从“安全底线”向“品质高线”跃升。因此，结合政策要求与横县茉莉花种植基地的实际情况，将种植基地等级划分为普通级（承诺达标合格级）、优级（绿色培育级）与特级（有机培育级），将《农产品质量安全承诺达标合格证管理办法》的基础要求与绿色食品、有机产品的更高标准有机衔接，形成从“田间到茶杯”的全程质量控制体系，为茉莉花质量安全追溯和品牌建设提供制度支撑。</w:t>
      </w:r>
    </w:p>
    <w:p w14:paraId="78EC9C16">
      <w:pPr>
        <w:autoSpaceDE w:val="0"/>
        <w:autoSpaceDN w:val="0"/>
        <w:adjustRightInd w:val="0"/>
        <w:ind w:firstLine="640"/>
        <w:rPr>
          <w:rFonts w:ascii="仿宋_GB2312" w:hAnsi="仿宋_GB2312" w:cs="仿宋_GB2312"/>
          <w:szCs w:val="32"/>
          <w:lang w:val="zh-CN"/>
        </w:rPr>
      </w:pPr>
      <w:r>
        <w:rPr>
          <w:rFonts w:hint="eastAsia" w:ascii="仿宋_GB2312" w:hAnsi="仿宋_GB2312" w:cs="仿宋_GB2312"/>
          <w:szCs w:val="32"/>
          <w:lang w:val="zh-CN"/>
        </w:rPr>
        <w:t>三个等级采用“基础级→中级→高级”的递进式结构，对应不同的质量控制水平和目标定位：（1）</w:t>
      </w:r>
      <w:r>
        <w:rPr>
          <w:rFonts w:hint="eastAsia" w:ascii="仿宋_GB2312" w:hAnsi="仿宋_GB2312" w:cs="仿宋_GB2312"/>
          <w:b/>
          <w:szCs w:val="32"/>
          <w:lang w:val="zh-CN"/>
        </w:rPr>
        <w:t>普通级（承诺达标合格级）</w:t>
      </w:r>
      <w:r>
        <w:rPr>
          <w:rFonts w:hint="eastAsia" w:ascii="仿宋_GB2312" w:hAnsi="仿宋_GB2312" w:cs="仿宋_GB2312"/>
          <w:szCs w:val="32"/>
          <w:lang w:val="zh-CN"/>
        </w:rPr>
        <w:t>：普通级是本标准三个等级中的基础层级，其核心定位是保障茉莉花质量安全，确保基地生产符合国家农产品质量安全的基本要求。普通级允许有限度使用化学合成农药和肥料，但须严格控制用量、次数和安全间隔期，禁止滥用植物生长调节剂。这一规定体现了实事求是的原则——对于大多数横县茉莉花种植基地而言，完全摒弃化学投入品在当前的生产条件下尚不现实，但通过规范使用行为、防止滥用来确保质量安全是完全可以做到的。普通级基地的判定依据主要是第5章所规定的各项要求，包括产地环境符合GB 15618、GB 5084、GB 3095等基础性国家标准，土肥管理遵循以有机肥为主、化肥为辅的原则，病虫害防治坚持“预防为主，综合防治”的方针等。普通级的设置为广大横县茉莉花种植基地参与标准体系提供了最低门槛，使得标准的覆盖面得以最大化。（2）</w:t>
      </w:r>
      <w:r>
        <w:rPr>
          <w:rFonts w:hint="eastAsia" w:ascii="仿宋_GB2312" w:hAnsi="仿宋_GB2312" w:cs="仿宋_GB2312"/>
          <w:b/>
          <w:szCs w:val="32"/>
          <w:lang w:val="zh-CN"/>
        </w:rPr>
        <w:t>优级（绿色培育级）</w:t>
      </w:r>
      <w:r>
        <w:rPr>
          <w:rFonts w:hint="eastAsia" w:ascii="仿宋_GB2312" w:hAnsi="仿宋_GB2312" w:cs="仿宋_GB2312"/>
          <w:szCs w:val="32"/>
          <w:lang w:val="zh-CN"/>
        </w:rPr>
        <w:t>：优级是在普通级基础上向绿色食品方向发展的培育性等级，其管理要求较普通级有显著提升。在产地环境方面，优级基地须符合NY/T 391《绿色食品 产地环境质量》的要求。在土肥管理方面，要求实施测土配方施肥，有机肥使用比例不低于70%，化学氮肥使用量较常规减少30%以上，且不得使用植物生长调节剂。在病虫害防治方面，以农业、物理、生物防治为主，化学农药仅作应急使用，且每季使用不超过1次、采收前30天内禁用，所使用的化学农药须为NY/T 393《绿色食品 农药使用准则》附录中允许使用的品种。在质量管理方面，要求符合《绿色食品标志许可审查工作规范》的要求，建立绿色生产专项档案并保存不少于3年。优级等级的设置，旨在引导具备一定条件的基地向绿色生产方向转型升级，在保障质量安全的基础上进一步提升产品的生态价值和市场竞争力。（3）</w:t>
      </w:r>
      <w:r>
        <w:rPr>
          <w:rFonts w:hint="eastAsia" w:ascii="仿宋_GB2312" w:hAnsi="仿宋_GB2312" w:cs="仿宋_GB2312"/>
          <w:b/>
          <w:szCs w:val="32"/>
          <w:lang w:val="zh-CN"/>
        </w:rPr>
        <w:t>特级（有机培育级）</w:t>
      </w:r>
      <w:r>
        <w:rPr>
          <w:rFonts w:hint="eastAsia" w:ascii="仿宋_GB2312" w:hAnsi="仿宋_GB2312" w:cs="仿宋_GB2312"/>
          <w:szCs w:val="32"/>
          <w:lang w:val="zh-CN"/>
        </w:rPr>
        <w:t>：特级是本标准中的最高等级，遵循有机农业生产原则进行管理，其要求较优级又有质的飞跃。特级基地不得使用任何化学合成农药、化肥、植物生长调节剂、除草剂等禁用物质，产地环境须符合GB/T 19630《有机产品 生产、加工、标识与管理体系要求》。特级基地还须建立完整的生态系统和数字化追溯体系，并须通过至少36个月的转换期——常规地块转换为有机基地至少需要36个月（首次有机收获前），新开垦或连续撂荒3年以上的地块转换期至少12个月。此外，特级基地还须满足一系列特殊要求：在同一生产单元内不得存在有机与常规茉莉花的平行生产；须设置有效缓冲带以防止邻近常规地块的污染；外购商品有机肥须获得认证机构许可；灌溉水质宜每季度检测1次等。特级等级的设置，瞄准的是有机产品这一高端市场定位，代表了横县茉莉花种植管理的最高水平。</w:t>
      </w:r>
    </w:p>
    <w:p w14:paraId="76BBE4B8">
      <w:pPr>
        <w:autoSpaceDE w:val="0"/>
        <w:autoSpaceDN w:val="0"/>
        <w:adjustRightInd w:val="0"/>
        <w:ind w:firstLine="640"/>
        <w:rPr>
          <w:rFonts w:hint="eastAsia" w:ascii="仿宋_GB2312" w:hAnsi="仿宋_GB2312" w:cs="仿宋_GB2312"/>
          <w:szCs w:val="32"/>
          <w:lang w:val="zh-CN"/>
        </w:rPr>
      </w:pPr>
      <w:r>
        <w:rPr>
          <w:rFonts w:hint="eastAsia" w:ascii="仿宋_GB2312" w:hAnsi="仿宋_GB2312" w:cs="仿宋_GB2312"/>
          <w:szCs w:val="32"/>
          <w:lang w:val="zh-CN"/>
        </w:rPr>
        <w:t>横县茉莉花种植基地规模、基础条件、管理水平参差不齐。三级划分为不同发展水平的基地提供了清晰的进阶路径：基础薄弱的先达标承诺合格级，条件成熟的可以创建优级（绿色培育级），优势明显的可以申请特级（有机培育级）。</w:t>
      </w:r>
    </w:p>
    <w:p w14:paraId="0E19C855">
      <w:pPr>
        <w:autoSpaceDE w:val="0"/>
        <w:autoSpaceDN w:val="0"/>
        <w:adjustRightInd w:val="0"/>
        <w:ind w:firstLine="643"/>
        <w:jc w:val="left"/>
        <w:rPr>
          <w:rFonts w:ascii="仿宋_GB2312" w:hAnsi="仿宋_GB2312" w:cs="仿宋_GB2312"/>
          <w:b/>
          <w:bCs/>
          <w:szCs w:val="32"/>
        </w:rPr>
      </w:pPr>
      <w:r>
        <w:rPr>
          <w:rFonts w:hint="eastAsia" w:ascii="仿宋_GB2312" w:hAnsi="仿宋_GB2312" w:cs="仿宋_GB2312"/>
          <w:b/>
          <w:bCs/>
          <w:szCs w:val="32"/>
        </w:rPr>
        <w:t>(三）普通级（承诺达标合格级）基地要求</w:t>
      </w:r>
    </w:p>
    <w:p w14:paraId="485514BF">
      <w:pPr>
        <w:autoSpaceDE w:val="0"/>
        <w:autoSpaceDN w:val="0"/>
        <w:adjustRightInd w:val="0"/>
        <w:ind w:firstLine="640"/>
        <w:rPr>
          <w:rFonts w:ascii="仿宋_GB2312" w:hAnsi="仿宋_GB2312" w:cs="仿宋_GB2312"/>
          <w:bCs/>
          <w:szCs w:val="32"/>
        </w:rPr>
      </w:pPr>
      <w:r>
        <w:rPr>
          <w:rFonts w:hint="eastAsia" w:ascii="仿宋_GB2312" w:hAnsi="仿宋_GB2312" w:cs="仿宋_GB2312"/>
          <w:bCs/>
          <w:szCs w:val="32"/>
        </w:rPr>
        <w:t>依据《农产品质量安全承诺达标合格证管理办法》，并结合横县茉莉花种植实际，对园地环境、基础设施、品种选择、施肥管理、水分管理、病虫害防治等环节做出了系统规定，构建了茉莉花种植基地质量安全管理的“基线”。</w:t>
      </w:r>
      <w:r>
        <w:rPr>
          <w:rFonts w:ascii="Segoe UI" w:hAnsi="Segoe UI" w:cs="Segoe UI"/>
          <w:shd w:val="clear" w:color="auto" w:fill="FFFFFF"/>
        </w:rPr>
        <w:t>作为基础等级，为种植主体提供了向优级（绿色培育级）、特级（有机培育级）进阶的起点，体现了分级管理的梯次推进思路</w:t>
      </w:r>
      <w:r>
        <w:rPr>
          <w:rFonts w:hint="eastAsia" w:ascii="Segoe UI" w:hAnsi="Segoe UI" w:cs="Segoe UI"/>
          <w:shd w:val="clear" w:color="auto" w:fill="FFFFFF"/>
        </w:rPr>
        <w:t>。</w:t>
      </w:r>
    </w:p>
    <w:p w14:paraId="601D4A2B">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-环境条件</w:t>
      </w:r>
      <w:r>
        <w:rPr>
          <w:rFonts w:hint="eastAsia" w:ascii="仿宋_GB2312" w:hAnsi="仿宋_GB2312" w:cs="仿宋_GB2312"/>
          <w:bCs/>
          <w:szCs w:val="32"/>
        </w:rPr>
        <w:t>：主要规定了基地选址的立地条件及土壤、水质、空气质量要求。主要依据《农产品质量安全承诺达标合格证管理办法》第七条规定，农产品生产企业应当保证生产环境符合农产品质量安全标准。在选址方面，要求选择“生态条件好、远离城区工矿和交通要道的缓坡地或平地”。这一规定主要基于两方面的考量。其一，茉莉花作为窨制花茶用的香花原料，其香气品质与生长环境密切相关。城区、工矿区及交通要道附近的大气污染物（如二氧化硫、氮氧化物、颗粒物等）可能通过叶片吸收或附着于花蕾表面，对茉莉花的香气成分和感官品质产生不良影响。其二，远离污染源也是保障农产品质量安全的基本要求。</w:t>
      </w:r>
      <w:r>
        <w:rPr>
          <w:rFonts w:ascii="Segoe UI" w:hAnsi="Segoe UI" w:cs="Segoe UI"/>
          <w:shd w:val="clear" w:color="auto" w:fill="FFFFFF"/>
        </w:rPr>
        <w:t>在土壤质量方面</w:t>
      </w:r>
      <w:r>
        <w:rPr>
          <w:rFonts w:hint="eastAsia" w:ascii="Segoe UI" w:hAnsi="Segoe UI" w:cs="Segoe UI"/>
          <w:shd w:val="clear" w:color="auto" w:fill="FFFFFF"/>
        </w:rPr>
        <w:t>，</w:t>
      </w:r>
      <w:r>
        <w:rPr>
          <w:rFonts w:hint="eastAsia" w:ascii="仿宋_GB2312" w:hAnsi="仿宋_GB2312" w:cs="仿宋_GB2312"/>
          <w:bCs/>
          <w:szCs w:val="32"/>
        </w:rPr>
        <w:t>明确土壤质量应符合GB 15618《土壤环境质量 农用地土壤污染风险管控标准（试行）》的规定；在水质方面，灌溉水质应符合GB 5084《农田灌溉水质标准》的规定；在空气质量方面，空气质量应符合GB 3095《环境空气质量标准》的规定。坡度要求≤25°参照了DB45/T 2605《地理标志产品 横县茉莉花栽培技术规程》中关于园地选择的规定，符合丘陵地区茉莉花种植的实际地形条件。</w:t>
      </w:r>
    </w:p>
    <w:p w14:paraId="72084D05">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基础设施</w:t>
      </w:r>
      <w:r>
        <w:rPr>
          <w:rFonts w:hint="eastAsia" w:ascii="仿宋_GB2312" w:hAnsi="仿宋_GB2312" w:cs="仿宋_GB2312"/>
          <w:bCs/>
          <w:szCs w:val="32"/>
        </w:rPr>
        <w:t>：主要规定了排灌系统和道路设施的基本要求。参照DB45/T 2605第4章“园地选择与规划”中对排灌系统和道路系统的要求。其中“旱能灌、涝能排”是现代农业基地建设的基本原则，利用自然落差浇灌体现了山地种植的节水理念，主干道通行小型运输车辆是保障生产资料和鲜花运输的基本条件。</w:t>
      </w:r>
    </w:p>
    <w:p w14:paraId="55A836F8">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品种选择与苗木管理</w:t>
      </w:r>
      <w:r>
        <w:rPr>
          <w:rFonts w:hint="eastAsia" w:ascii="仿宋_GB2312" w:hAnsi="仿宋_GB2312" w:cs="仿宋_GB2312"/>
          <w:bCs/>
          <w:szCs w:val="32"/>
        </w:rPr>
        <w:t>：为避免标准间的重复交叉，主要引用DB45/T 2605的要求，该标准对茉莉花品种选用、苗木质量、种植密度等做出了详细规定，因此规定应符合DB45/T 2605的要求。</w:t>
      </w:r>
    </w:p>
    <w:p w14:paraId="720C690F">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土肥管理</w:t>
      </w:r>
      <w:r>
        <w:rPr>
          <w:rFonts w:hint="eastAsia" w:ascii="仿宋_GB2312" w:hAnsi="仿宋_GB2312" w:cs="仿宋_GB2312"/>
          <w:bCs/>
          <w:szCs w:val="32"/>
        </w:rPr>
        <w:t>：主要规定了施肥原则、基肥和追肥的施用要求。 “以有机肥为主、化肥为辅”的原则源于 NY/T 496《肥料合理使用准则 通则》的指导原则；植物生长调节剂的使用要求依据《农药管理条例》第三十四条及农药标签管理规定。肥料施肥量指标主要依据</w:t>
      </w:r>
      <w:r>
        <w:rPr>
          <w:rFonts w:ascii="仿宋_GB2312" w:hAnsi="仿宋_GB2312" w:cs="仿宋_GB2312"/>
          <w:bCs/>
          <w:szCs w:val="32"/>
        </w:rPr>
        <w:t xml:space="preserve"> DB45/T 2605 </w:t>
      </w:r>
      <w:r>
        <w:rPr>
          <w:rFonts w:hint="eastAsia" w:ascii="仿宋_GB2312" w:hAnsi="仿宋_GB2312" w:cs="仿宋_GB2312"/>
          <w:bCs/>
          <w:szCs w:val="32"/>
        </w:rPr>
        <w:t>第</w:t>
      </w:r>
      <w:r>
        <w:rPr>
          <w:rFonts w:ascii="仿宋_GB2312" w:hAnsi="仿宋_GB2312" w:cs="仿宋_GB2312"/>
          <w:bCs/>
          <w:szCs w:val="32"/>
        </w:rPr>
        <w:t>6</w:t>
      </w:r>
      <w:r>
        <w:rPr>
          <w:rFonts w:hint="eastAsia" w:ascii="仿宋_GB2312" w:hAnsi="仿宋_GB2312" w:cs="仿宋_GB2312"/>
          <w:bCs/>
          <w:szCs w:val="32"/>
        </w:rPr>
        <w:t>章“施肥管理”的规定，结合横县茉莉花主产区（如校椅镇、马岭镇）多年的生产实践数据综合确定。其中腐熟农家肥</w:t>
      </w:r>
      <w:r>
        <w:rPr>
          <w:rFonts w:ascii="仿宋_GB2312" w:hAnsi="仿宋_GB2312" w:cs="仿宋_GB2312"/>
          <w:bCs/>
          <w:szCs w:val="32"/>
        </w:rPr>
        <w:t>800kg</w:t>
      </w:r>
      <w:r>
        <w:rPr>
          <w:rFonts w:hint="eastAsia" w:ascii="仿宋_GB2312" w:hAnsi="仿宋_GB2312" w:cs="仿宋_GB2312"/>
          <w:bCs/>
          <w:szCs w:val="32"/>
        </w:rPr>
        <w:t>～</w:t>
      </w:r>
      <w:r>
        <w:rPr>
          <w:rFonts w:ascii="仿宋_GB2312" w:hAnsi="仿宋_GB2312" w:cs="仿宋_GB2312"/>
          <w:bCs/>
          <w:szCs w:val="32"/>
        </w:rPr>
        <w:t>1000kg/667m</w:t>
      </w:r>
      <w:r>
        <w:rPr>
          <w:rFonts w:hint="eastAsia" w:ascii="宋体" w:hAnsi="宋体" w:eastAsia="宋体" w:cs="宋体"/>
          <w:bCs/>
          <w:szCs w:val="32"/>
        </w:rPr>
        <w:t>²</w:t>
      </w:r>
      <w:r>
        <w:rPr>
          <w:rFonts w:hint="eastAsia" w:ascii="仿宋_GB2312" w:hAnsi="仿宋_GB2312" w:cs="仿宋_GB2312"/>
          <w:bCs/>
          <w:szCs w:val="32"/>
        </w:rPr>
        <w:t>、复合肥</w:t>
      </w:r>
      <w:r>
        <w:rPr>
          <w:rFonts w:ascii="仿宋_GB2312" w:hAnsi="仿宋_GB2312" w:cs="仿宋_GB2312"/>
          <w:bCs/>
          <w:szCs w:val="32"/>
        </w:rPr>
        <w:t>60kg</w:t>
      </w:r>
      <w:r>
        <w:rPr>
          <w:rFonts w:hint="eastAsia" w:ascii="仿宋_GB2312" w:hAnsi="仿宋_GB2312" w:cs="仿宋_GB2312"/>
          <w:bCs/>
          <w:szCs w:val="32"/>
        </w:rPr>
        <w:t>～</w:t>
      </w:r>
      <w:r>
        <w:rPr>
          <w:rFonts w:ascii="仿宋_GB2312" w:hAnsi="仿宋_GB2312" w:cs="仿宋_GB2312"/>
          <w:bCs/>
          <w:szCs w:val="32"/>
        </w:rPr>
        <w:t>80kg/667m</w:t>
      </w:r>
      <w:r>
        <w:rPr>
          <w:rFonts w:hint="eastAsia" w:ascii="宋体" w:hAnsi="宋体" w:eastAsia="宋体" w:cs="宋体"/>
          <w:bCs/>
          <w:szCs w:val="32"/>
        </w:rPr>
        <w:t>²</w:t>
      </w:r>
      <w:r>
        <w:rPr>
          <w:rFonts w:hint="eastAsia" w:ascii="仿宋_GB2312" w:hAnsi="仿宋_GB2312" w:cs="仿宋_GB2312"/>
          <w:bCs/>
          <w:szCs w:val="32"/>
        </w:rPr>
        <w:t>等数值，来源于横州市茉莉花产业服务中心多年田间试验示范的优化结果。</w:t>
      </w:r>
    </w:p>
    <w:p w14:paraId="53CF710F">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灌溉管理</w:t>
      </w:r>
      <w:r>
        <w:rPr>
          <w:rFonts w:hint="eastAsia" w:ascii="仿宋_GB2312" w:hAnsi="仿宋_GB2312" w:cs="仿宋_GB2312"/>
          <w:bCs/>
          <w:szCs w:val="32"/>
        </w:rPr>
        <w:t>：在灌溉方式方面，提倡节水灌溉是响应国家农业节水政策的体现，也是适应横县水资源时空分布不均的实际需要。传统的大水漫灌方式不仅浪费水资源，还可能导致土壤板结和养分流失。滴灌、喷灌等节水灌溉方式能够精准控制灌溉水量和灌溉区域，提高水资源利用效率，同时减少病害的传播。在水质要求方面，引用GB 5084《农田灌溉水质标准》确保灌溉用水本身不成为污染源。</w:t>
      </w:r>
    </w:p>
    <w:p w14:paraId="2DB1573A">
      <w:pPr>
        <w:autoSpaceDE w:val="0"/>
        <w:autoSpaceDN w:val="0"/>
        <w:adjustRightInd w:val="0"/>
        <w:ind w:firstLine="643"/>
        <w:rPr>
          <w:rFonts w:hint="eastAsia" w:ascii="仿宋_GB2312" w:hAnsi="仿宋_GB2312" w:cs="仿宋_GB2312"/>
          <w:bCs/>
          <w:szCs w:val="32"/>
        </w:rPr>
      </w:pPr>
      <w:r>
        <w:rPr>
          <w:rFonts w:hint="eastAsia" w:ascii="仿宋_GB2312" w:hAnsi="仿宋_GB2312" w:cs="仿宋_GB2312"/>
          <w:b/>
          <w:bCs/>
          <w:szCs w:val="32"/>
        </w:rPr>
        <w:t>病虫害综合防治</w:t>
      </w:r>
      <w:r>
        <w:rPr>
          <w:rFonts w:hint="eastAsia" w:ascii="仿宋_GB2312" w:hAnsi="仿宋_GB2312" w:cs="仿宋_GB2312"/>
          <w:bCs/>
          <w:szCs w:val="32"/>
        </w:rPr>
        <w:t>：主要系统规定了病虫害防治的总体要求。主要病虫害种类：所列11种病虫害名称依据 DB45/T 2605 附录A“茉莉花主要病虫害及防治方法”，并结合横县植保站多年监测数据进行了补充完善。防治原则：“预防为主，综合防治”是《农作物病虫害防治条例》确立的基本方针；以农业、物理、生物防治为主，化学防治为辅的原则符合绿色植保理念，也体现了普通级（承诺达标合格级）为更高等级奠定基础的作用。农业防治：各项措施来源于DB45/T 2605 第8章“病虫害防治”，其中“秋末及初春清除落叶杂草”的做法是预防白绢病等土传病害的有效措施。物理防治：灯光诱杀中“每</w:t>
      </w:r>
      <w:r>
        <w:rPr>
          <w:rFonts w:ascii="仿宋_GB2312" w:hAnsi="仿宋_GB2312" w:cs="仿宋_GB2312"/>
          <w:bCs/>
          <w:szCs w:val="32"/>
        </w:rPr>
        <w:t>1675m</w:t>
      </w:r>
      <w:r>
        <w:rPr>
          <w:rFonts w:hint="eastAsia" w:ascii="宋体" w:hAnsi="宋体" w:eastAsia="宋体" w:cs="宋体"/>
          <w:bCs/>
          <w:szCs w:val="32"/>
        </w:rPr>
        <w:t>²</w:t>
      </w:r>
      <w:r>
        <w:rPr>
          <w:rFonts w:hint="eastAsia" w:ascii="仿宋_GB2312" w:hAnsi="仿宋_GB2312" w:cs="仿宋_GB2312"/>
          <w:bCs/>
          <w:szCs w:val="32"/>
        </w:rPr>
        <w:t>～</w:t>
      </w:r>
      <w:r>
        <w:rPr>
          <w:rFonts w:ascii="仿宋_GB2312" w:hAnsi="仿宋_GB2312" w:cs="仿宋_GB2312"/>
          <w:bCs/>
          <w:szCs w:val="32"/>
        </w:rPr>
        <w:t>2010m</w:t>
      </w:r>
      <w:r>
        <w:rPr>
          <w:rFonts w:hint="eastAsia" w:ascii="宋体" w:hAnsi="宋体" w:eastAsia="宋体" w:cs="宋体"/>
          <w:bCs/>
          <w:szCs w:val="32"/>
        </w:rPr>
        <w:t>²</w:t>
      </w:r>
      <w:r>
        <w:rPr>
          <w:rFonts w:hint="eastAsia" w:ascii="仿宋_GB2312" w:hAnsi="仿宋_GB2312" w:cs="仿宋_GB2312"/>
          <w:bCs/>
          <w:szCs w:val="32"/>
        </w:rPr>
        <w:t>安装</w:t>
      </w:r>
      <w:r>
        <w:rPr>
          <w:rFonts w:ascii="仿宋_GB2312" w:hAnsi="仿宋_GB2312" w:cs="仿宋_GB2312"/>
          <w:bCs/>
          <w:szCs w:val="32"/>
        </w:rPr>
        <w:t>1</w:t>
      </w:r>
      <w:r>
        <w:rPr>
          <w:rFonts w:hint="eastAsia" w:ascii="仿宋_GB2312" w:hAnsi="仿宋_GB2312" w:cs="仿宋_GB2312"/>
          <w:bCs/>
          <w:szCs w:val="32"/>
        </w:rPr>
        <w:t>盏频振式杀虫灯”，色板诱杀中黄板诱杀白粉虱、蚜虫，蓝板诱杀蓟马，每</w:t>
      </w:r>
      <w:r>
        <w:rPr>
          <w:rFonts w:ascii="仿宋_GB2312" w:hAnsi="仿宋_GB2312" w:cs="仿宋_GB2312"/>
          <w:bCs/>
          <w:szCs w:val="32"/>
        </w:rPr>
        <w:t>667m</w:t>
      </w:r>
      <w:r>
        <w:rPr>
          <w:rFonts w:hint="eastAsia" w:ascii="宋体" w:hAnsi="宋体" w:eastAsia="宋体" w:cs="宋体"/>
          <w:bCs/>
          <w:szCs w:val="32"/>
        </w:rPr>
        <w:t>²</w:t>
      </w:r>
      <w:r>
        <w:rPr>
          <w:rFonts w:ascii="仿宋_GB2312" w:hAnsi="仿宋_GB2312" w:cs="仿宋_GB2312"/>
          <w:bCs/>
          <w:szCs w:val="32"/>
        </w:rPr>
        <w:t>20</w:t>
      </w:r>
      <w:r>
        <w:rPr>
          <w:rFonts w:hint="eastAsia" w:ascii="仿宋_GB2312" w:hAnsi="仿宋_GB2312" w:cs="仿宋_GB2312"/>
          <w:bCs/>
          <w:szCs w:val="32"/>
        </w:rPr>
        <w:t>～</w:t>
      </w:r>
      <w:r>
        <w:rPr>
          <w:rFonts w:ascii="仿宋_GB2312" w:hAnsi="仿宋_GB2312" w:cs="仿宋_GB2312"/>
          <w:bCs/>
          <w:szCs w:val="32"/>
        </w:rPr>
        <w:t>30</w:t>
      </w:r>
      <w:r>
        <w:rPr>
          <w:rFonts w:hint="eastAsia" w:ascii="仿宋_GB2312" w:hAnsi="仿宋_GB2312" w:cs="仿宋_GB2312"/>
          <w:bCs/>
          <w:szCs w:val="32"/>
        </w:rPr>
        <w:t>张的数量依据各地绿色防控技术示范的经验值；人工捕杀针对柑橘灰象等具有假死性的害虫，是传统的有效方法。生物防治：所列生物防治方法（赤眼蜂、捕食螨、绿僵菌、生物农药等）均属于《农作物病虫害防治条例》鼓励使用的绿色防控技术。化学防治：白绢病化学防治直接引用DB45/T 1656《茉莉花白绢病防治技术规程》，该标准专门针对茉莉花白绢病的诊断和防治作出了系统规定。其他主要虫害化学防治方法整理为表格，附录A中所列药剂（苯醚甲环唑、阿维菌素、啶虫脒）均为在茉莉花上登记使用的农药，使用方法、剂量和安全间隔期依据农药登记信息和田间试验数据确定。施药时间“晴天上午9时前和下午4时后”的规定是农药安全使用的通用要求，可避免高温导致药害和人员中毒。农药使用准则：引用GB/T 8321《农药合理使用准则》（所有部分），该系列标准是农药安全使用的国家技术规范。</w:t>
      </w:r>
    </w:p>
    <w:p w14:paraId="303E1EBF">
      <w:pPr>
        <w:autoSpaceDE w:val="0"/>
        <w:autoSpaceDN w:val="0"/>
        <w:adjustRightInd w:val="0"/>
        <w:ind w:firstLine="643"/>
        <w:rPr>
          <w:rFonts w:ascii="仿宋_GB2312" w:hAnsi="仿宋_GB2312" w:cs="仿宋_GB2312"/>
          <w:bCs/>
          <w:szCs w:val="32"/>
        </w:rPr>
      </w:pPr>
      <w:r>
        <w:rPr>
          <w:rFonts w:hint="eastAsia" w:ascii="仿宋_GB2312" w:hAnsi="仿宋_GB2312" w:cs="仿宋_GB2312"/>
          <w:b/>
          <w:bCs/>
          <w:szCs w:val="32"/>
        </w:rPr>
        <w:t>质量管理：</w:t>
      </w:r>
      <w:r>
        <w:rPr>
          <w:rFonts w:hint="eastAsia" w:ascii="仿宋_GB2312" w:hAnsi="仿宋_GB2312" w:cs="仿宋_GB2312"/>
          <w:bCs/>
          <w:szCs w:val="32"/>
        </w:rPr>
        <w:t>从管理制度文件、操作规程、追溯管理三个方面规定了普通级基地的质量管理要求覆盖了基地质量管理的各个关键环节，构成了完整的质量管理体系框架，明确“应实现产品批次可追溯”，这是落实《农产品质量安全承诺达标合格证管理办法》关于“农产品生产企业、农民专业合作社应当在农产品产地按照生产批次开具承诺达标合格证”要求的具体体现，也是保障茉莉花质量安全可追溯、可追责的基本制度安排。</w:t>
      </w:r>
    </w:p>
    <w:p w14:paraId="227C439D">
      <w:pPr>
        <w:autoSpaceDE w:val="0"/>
        <w:autoSpaceDN w:val="0"/>
        <w:adjustRightInd w:val="0"/>
        <w:ind w:firstLine="643"/>
        <w:jc w:val="left"/>
        <w:rPr>
          <w:rFonts w:ascii="仿宋_GB2312" w:hAnsi="仿宋_GB2312" w:cs="仿宋_GB2312"/>
          <w:b/>
          <w:bCs/>
          <w:szCs w:val="32"/>
        </w:rPr>
      </w:pPr>
      <w:r>
        <w:rPr>
          <w:rFonts w:hint="eastAsia" w:ascii="仿宋_GB2312" w:hAnsi="仿宋_GB2312" w:cs="仿宋_GB2312"/>
          <w:b/>
          <w:bCs/>
          <w:szCs w:val="32"/>
        </w:rPr>
        <w:t>(四）优级（绿色培育级）基地要求</w:t>
      </w:r>
    </w:p>
    <w:p w14:paraId="6CCB1410">
      <w:pPr>
        <w:autoSpaceDE w:val="0"/>
        <w:autoSpaceDN w:val="0"/>
        <w:adjustRightInd w:val="0"/>
        <w:ind w:firstLine="640"/>
        <w:jc w:val="left"/>
        <w:rPr>
          <w:rFonts w:ascii="仿宋_GB2312" w:hAnsi="仿宋_GB2312" w:cs="仿宋_GB2312"/>
          <w:szCs w:val="32"/>
          <w:lang w:val="zh-CN"/>
        </w:rPr>
      </w:pPr>
      <w:r>
        <w:rPr>
          <w:rFonts w:hint="eastAsia" w:ascii="仿宋_GB2312" w:hAnsi="仿宋_GB2312" w:cs="仿宋_GB2312"/>
          <w:szCs w:val="32"/>
          <w:lang w:val="zh-CN"/>
        </w:rPr>
        <w:t>优级（绿色培育级）茉莉花种植基地应满足的各项管理要求，是三个等级中承上启下的关键层级。优级的命名定位为“绿色培育级”，其核心内涵是在普通级（承诺达标合格级）所确立的质量安全底线基础上，向绿色食品方向发展。优级并非要求基地立即获得绿色食品认证，而是要求基地按照绿色食品的理念和标准进行管理培育，为最终达到绿色食品认证标准奠定基础。这一命名方式体现了标准制定的务实考量——绿色食品认证需要经过严格的申请、审查和检测程序，将优级定位为“培育级”，意味着基地可以先按照绿色食品标准进行管理，待条件成熟后再正式申请认证，基地在达到优级要求后，可进一步向特级（有机培育级）迈进。</w:t>
      </w:r>
    </w:p>
    <w:p w14:paraId="255EA36C">
      <w:pPr>
        <w:autoSpaceDE w:val="0"/>
        <w:autoSpaceDN w:val="0"/>
        <w:adjustRightInd w:val="0"/>
        <w:ind w:firstLine="643"/>
        <w:rPr>
          <w:rFonts w:hint="eastAsia" w:ascii="仿宋_GB2312" w:hAnsi="仿宋_GB2312" w:cs="仿宋_GB2312"/>
          <w:szCs w:val="32"/>
          <w:lang w:val="zh-CN"/>
        </w:rPr>
      </w:pPr>
      <w:r>
        <w:rPr>
          <w:rFonts w:hint="eastAsia" w:ascii="仿宋_GB2312" w:hAnsi="仿宋_GB2312" w:cs="仿宋_GB2312"/>
          <w:b/>
          <w:szCs w:val="32"/>
          <w:lang w:val="zh-CN"/>
        </w:rPr>
        <w:t>基本要求：</w:t>
      </w:r>
      <w:r>
        <w:rPr>
          <w:rFonts w:hint="eastAsia" w:ascii="仿宋_GB2312" w:hAnsi="仿宋_GB2312" w:cs="仿宋_GB2312"/>
          <w:szCs w:val="32"/>
          <w:lang w:val="zh-CN"/>
        </w:rPr>
        <w:t>明确了普通级与优级之间的包含关系——优级基地首先必须是合格的普通级基地，全部满足第5章关于产地环境、基础设施、品种选择、土肥管理、灌溉管理、病虫害防治、质量管理等各项要求，在此基础上再叠加第6章更为严格的补充规定。从普通级到优级，不是管理要求的替换，而是管理要求的叠加和升级。对于已经达到普通级要求的基地而言，升级到优级需要在保持现有管理水平的基础上，在产地环境、土肥管理、病</w:t>
      </w:r>
      <w:bookmarkStart w:id="6" w:name="_GoBack"/>
      <w:bookmarkEnd w:id="6"/>
      <w:r>
        <w:rPr>
          <w:rFonts w:hint="eastAsia" w:ascii="仿宋_GB2312" w:hAnsi="仿宋_GB2312" w:cs="仿宋_GB2312"/>
          <w:szCs w:val="32"/>
          <w:lang w:val="zh-CN"/>
        </w:rPr>
        <w:t>虫害防治、质量管理等关键环节实现质的提升。</w:t>
      </w:r>
    </w:p>
    <w:p w14:paraId="03B5BA65">
      <w:pPr>
        <w:autoSpaceDE w:val="0"/>
        <w:autoSpaceDN w:val="0"/>
        <w:adjustRightInd w:val="0"/>
        <w:ind w:firstLine="643"/>
        <w:rPr>
          <w:rFonts w:ascii="仿宋_GB2312" w:hAnsi="仿宋_GB2312" w:cs="仿宋_GB2312"/>
          <w:szCs w:val="32"/>
          <w:lang w:val="zh-CN"/>
        </w:rPr>
      </w:pPr>
      <w:r>
        <w:rPr>
          <w:rFonts w:hint="eastAsia" w:ascii="仿宋_GB2312" w:hAnsi="仿宋_GB2312" w:cs="仿宋_GB2312"/>
          <w:b/>
          <w:szCs w:val="32"/>
          <w:lang w:val="zh-CN"/>
        </w:rPr>
        <w:t>产地环境</w:t>
      </w:r>
      <w:r>
        <w:rPr>
          <w:rFonts w:hint="eastAsia" w:ascii="仿宋_GB2312" w:hAnsi="仿宋_GB2312" w:cs="仿宋_GB2312"/>
          <w:szCs w:val="32"/>
          <w:lang w:val="zh-CN"/>
        </w:rPr>
        <w:t>：规定优级基地的产地环境应符合NY/T 391的规定，在具体指标方面，NY/T 391—2021要求绿色食品生产应选择生态环境良好、无污染的地区，远离工矿区、公路铁路干线和生活区，避开污染源；产地应距离公路、铁路、生活区50m以上，距离工矿企业1km以上。与普通级基地所引用的GB 15618、GB 5084、GB 3095等基础性国家标准相比，NY/T 391对产地环境的要求更为严格和全面，不仅规定了土壤、水质、空气等环境质量的具体指标，还对产地的区位选择和隔离保护提出了明确要求。优级基地产地环境引用NY/T 391，意味着其在选址和周边环境管控方面的标准较普通级有了显著提升。</w:t>
      </w:r>
    </w:p>
    <w:p w14:paraId="55CE0706">
      <w:pPr>
        <w:autoSpaceDE w:val="0"/>
        <w:autoSpaceDN w:val="0"/>
        <w:adjustRightInd w:val="0"/>
        <w:ind w:firstLine="643"/>
        <w:jc w:val="left"/>
        <w:rPr>
          <w:rFonts w:hint="eastAsia" w:ascii="仿宋_GB2312" w:hAnsi="仿宋_GB2312" w:cs="仿宋_GB2312"/>
          <w:szCs w:val="32"/>
          <w:lang w:val="zh-CN"/>
        </w:rPr>
      </w:pPr>
      <w:r>
        <w:rPr>
          <w:rFonts w:hint="eastAsia" w:ascii="仿宋_GB2312" w:hAnsi="仿宋_GB2312" w:cs="仿宋_GB2312"/>
          <w:b/>
          <w:szCs w:val="32"/>
          <w:lang w:val="zh-CN"/>
        </w:rPr>
        <w:t>土肥管理</w:t>
      </w:r>
      <w:r>
        <w:rPr>
          <w:rFonts w:hint="eastAsia" w:ascii="仿宋_GB2312" w:hAnsi="仿宋_GB2312" w:cs="仿宋_GB2312"/>
          <w:szCs w:val="32"/>
          <w:lang w:val="zh-CN"/>
        </w:rPr>
        <w:t>：规定了测土配方施肥、有机肥比例、化学氮肥减量及植物生长调节剂使用要求。“实施测土配方施肥”依据《到2025年化肥减量化行动方案》提出的“深入推进测土配方施肥”要求，是科学施肥、提高肥料利用效率的核心措施。“有机肥使用比例不低于70%，化学氮肥使用量较常规减少30%以上”依据NY/T 394《绿色食品 肥料使用准则》第4.2条规定：“绿色食品生产中应优先使用有机肥料，无机氮与有机氮之比不超过1:1。”有机氮占比不低于50%即相当于有机肥提供的氮素不低于总施氮量的一半，结合绿色食品生产以有机肥为主的原则，设定有机肥使用比例不低于70%是合理的技术指标。化学氮肥减少30%以上符合绿色食品减量化施肥的要求。植物生长调节剂使用要求依据《农药管理条例》第三十四条及NY/T 394第4.3条规定，应选择在农业农村部登记并允许在绿色食品生产中使用的种类，严格按照标签规定使用。</w:t>
      </w:r>
    </w:p>
    <w:p w14:paraId="4A456D76">
      <w:pPr>
        <w:autoSpaceDE w:val="0"/>
        <w:autoSpaceDN w:val="0"/>
        <w:adjustRightInd w:val="0"/>
        <w:ind w:firstLine="643"/>
        <w:jc w:val="left"/>
        <w:rPr>
          <w:rFonts w:ascii="仿宋_GB2312" w:hAnsi="仿宋_GB2312" w:cs="仿宋_GB2312"/>
          <w:szCs w:val="32"/>
          <w:lang w:val="zh-CN"/>
        </w:rPr>
      </w:pPr>
      <w:r>
        <w:rPr>
          <w:rFonts w:hint="eastAsia" w:ascii="仿宋_GB2312" w:hAnsi="仿宋_GB2312" w:cs="仿宋_GB2312"/>
          <w:b/>
          <w:szCs w:val="32"/>
          <w:lang w:val="zh-CN"/>
        </w:rPr>
        <w:t>灌溉管理</w:t>
      </w:r>
      <w:r>
        <w:rPr>
          <w:rFonts w:hint="eastAsia" w:ascii="仿宋_GB2312" w:hAnsi="仿宋_GB2312" w:cs="仿宋_GB2312"/>
          <w:szCs w:val="32"/>
          <w:lang w:val="zh-CN"/>
        </w:rPr>
        <w:t>：在水质检测方面，要求“灌溉水质每半年检测1次”。普通级基地仅要求灌溉水符合GB 5084的规定，但未设定固定的检测频率；优级基地则将检测频率制度化、常态化，每半年检测1次，以确保灌溉水质持续达标。这一规定体现了绿色食品生产对过程管理的重视——不仅要达标，还要持续证明达标。在灌溉设施方面，要求“宜采用滴灌、喷灌等节水灌溉设施”。普通级基地仅提出“宜采用节水灌溉方式”的原则性要求，优级基地则将要求具体化为滴灌、喷灌等设施类型。滴灌和喷灌是现代农业中最为先进的节水灌溉技术，能够精准控制灌溉水量和灌溉区域，在节约水资源的同时，还能减少因大水漫灌造成的土壤板结、养分流失和病害传播。优级基地对节水灌溉设施的要求，既是对国家农业节水政策的积极响应，也是对茉莉花精细化种植管理的实际需要。</w:t>
      </w:r>
    </w:p>
    <w:p w14:paraId="53E58776">
      <w:pPr>
        <w:autoSpaceDE w:val="0"/>
        <w:autoSpaceDN w:val="0"/>
        <w:adjustRightInd w:val="0"/>
        <w:ind w:firstLine="643"/>
        <w:jc w:val="left"/>
        <w:rPr>
          <w:rFonts w:hint="eastAsia" w:ascii="仿宋_GB2312" w:hAnsi="仿宋_GB2312" w:cs="仿宋_GB2312"/>
          <w:szCs w:val="32"/>
          <w:lang w:val="zh-CN"/>
        </w:rPr>
      </w:pPr>
      <w:r>
        <w:rPr>
          <w:rFonts w:hint="eastAsia" w:ascii="仿宋_GB2312" w:hAnsi="仿宋_GB2312" w:cs="仿宋_GB2312"/>
          <w:b/>
          <w:szCs w:val="32"/>
          <w:lang w:val="zh-CN"/>
        </w:rPr>
        <w:t>病虫害防治</w:t>
      </w:r>
      <w:r>
        <w:rPr>
          <w:rFonts w:hint="eastAsia" w:ascii="仿宋_GB2312" w:hAnsi="仿宋_GB2312" w:cs="仿宋_GB2312"/>
          <w:szCs w:val="32"/>
          <w:lang w:val="zh-CN"/>
        </w:rPr>
        <w:t>：对优级基地的病虫害防治作出了更为严格的补充规定，核心要义是“以农业、物理、生物防治为主”，对化学农药的使用设置了极为严格的限制条件。在防治策略上，优级基地延续了普通级基地“预防为主，综合防治”的植保方针，但进一步强化了绿色防控的导向。在化学农药的使用方面，设置了四重限制：其一，必须使用化学农药时，应选择NY/T 393附录中允许使用的农药。NY/T 393《绿色食品 农药使用准则》现行版本为NY/T 393—2020，于2020年7月27日发布、2020年11月1日实施，代替了NY/T 393—2013，规定了绿色食品生产和储运中的有害生物防治原则、农药选用、农药使用规范和绿色食品农药残留要求。NY/T 393以附录形式列出了绿色食品生产允许使用的农药和其他植保产品清单，确保所选用的农药品种符合绿色食品生产的要求。其二，要求“详细记录使用原因、靶标、用量、时间”，强调化学农药使用的可追溯性和可审查性，便于监管部门和质量认证机构进行检查和评估。其三，规定“每季化学农药使用不超过1次”，从使用频次上对化学农药进行了严格限制，迫使基地优先采用非化学防治手段。其四，规定“采收前30d内禁用”，通过设置较长的安全间隔期，确保采收时农药残留降至安全水平，与普通级基地允许有限度使用化学农药但需控制用量、次数和安全间隔期的要求形成了清晰的梯度。</w:t>
      </w:r>
    </w:p>
    <w:p w14:paraId="603BE960">
      <w:pPr>
        <w:autoSpaceDE w:val="0"/>
        <w:autoSpaceDN w:val="0"/>
        <w:adjustRightInd w:val="0"/>
        <w:ind w:firstLine="643"/>
        <w:rPr>
          <w:rFonts w:ascii="仿宋_GB2312" w:hAnsi="仿宋_GB2312" w:cs="仿宋_GB2312"/>
          <w:szCs w:val="32"/>
          <w:lang w:val="zh-CN"/>
        </w:rPr>
      </w:pPr>
      <w:r>
        <w:rPr>
          <w:rFonts w:hint="eastAsia" w:ascii="仿宋_GB2312" w:hAnsi="仿宋_GB2312" w:cs="仿宋_GB2312"/>
          <w:b/>
          <w:szCs w:val="32"/>
          <w:lang w:val="zh-CN"/>
        </w:rPr>
        <w:t>质量管理：</w:t>
      </w:r>
      <w:r>
        <w:rPr>
          <w:rFonts w:hint="eastAsia" w:ascii="仿宋_GB2312" w:hAnsi="仿宋_GB2312" w:cs="仿宋_GB2312"/>
          <w:szCs w:val="32"/>
          <w:lang w:val="zh-CN"/>
        </w:rPr>
        <w:t>应符合《绿色食品标志许可审查工作规范》的要求，并建立绿色生产专项档案，保存期不少于3年。该规范旨在规范绿色食品标志使用许可申请审查工作，保证审查工作的科学性、公正性和有效性。优级基地的质量管理应符合该规范的要求，意味着基地在组织机构、人员职责、内部检查、生产记录、投入品管理、产品质量控制等方面均需达到绿色食品标志许可审查的标准，为日后正式申请绿色食品认证做好制度准备。建立绿色生产专项档案的要求，则是将质量管理从“制度层面”落实到“记录层面”——专项档案是对基地绿色生产全过程的真实记录，包括产地环境检测报告、投入品采购和使用记录、病虫害防治记录、产品质量检测报告等。保存期不少于3年的规定，既满足了绿色食品标志许可审查的追溯要求，也兼顾了档案管理的实际可行性。</w:t>
      </w:r>
    </w:p>
    <w:p w14:paraId="3AD5D339">
      <w:pPr>
        <w:autoSpaceDE w:val="0"/>
        <w:autoSpaceDN w:val="0"/>
        <w:adjustRightInd w:val="0"/>
        <w:ind w:firstLine="643"/>
        <w:jc w:val="left"/>
        <w:rPr>
          <w:rFonts w:ascii="仿宋_GB2312" w:hAnsi="仿宋_GB2312" w:cs="仿宋_GB2312"/>
          <w:b/>
          <w:bCs/>
          <w:szCs w:val="32"/>
        </w:rPr>
      </w:pPr>
      <w:r>
        <w:rPr>
          <w:rFonts w:hint="eastAsia" w:ascii="仿宋_GB2312" w:hAnsi="仿宋_GB2312" w:cs="仿宋_GB2312"/>
          <w:b/>
          <w:bCs/>
          <w:szCs w:val="32"/>
        </w:rPr>
        <w:t>(五）特级（有机培育级）基地要求</w:t>
      </w:r>
    </w:p>
    <w:p w14:paraId="46DB0AD4">
      <w:pPr>
        <w:autoSpaceDE w:val="0"/>
        <w:autoSpaceDN w:val="0"/>
        <w:adjustRightInd w:val="0"/>
        <w:ind w:firstLine="640"/>
        <w:jc w:val="left"/>
        <w:rPr>
          <w:rFonts w:hint="eastAsia" w:ascii="仿宋_GB2312" w:hAnsi="仿宋_GB2312" w:cs="仿宋_GB2312"/>
          <w:bCs/>
          <w:szCs w:val="32"/>
        </w:rPr>
      </w:pPr>
      <w:r>
        <w:rPr>
          <w:rFonts w:hint="eastAsia" w:ascii="仿宋_GB2312" w:hAnsi="仿宋_GB2312" w:cs="仿宋_GB2312"/>
          <w:bCs/>
          <w:szCs w:val="32"/>
        </w:rPr>
        <w:t>特级茉莉花种植基地定位为“有机培育级”，其核心内涵是在优级（绿色培育级）所确立的绿色生产管理基础上，进一步向有机产品方向发展。与优级类似，特级并非要求基地立即获得有机产品认证，而是要求基地按照有机农业生产原则进行管理培育，为最终获得有机产品认证奠定基础。特级是在全面满足普通级各项基础要求的前提下，叠加更为严格的有机管理要求。涵盖了产地环境、品种与种苗、转换期、平行生产、缓冲带、土肥管理、灌溉与污染控制、病虫害防治、质量管理等九个方面，构成了完整的有机生产管理体系框架。</w:t>
      </w:r>
    </w:p>
    <w:p w14:paraId="55EEC8D0">
      <w:pPr>
        <w:autoSpaceDE w:val="0"/>
        <w:autoSpaceDN w:val="0"/>
        <w:adjustRightInd w:val="0"/>
        <w:ind w:firstLine="643"/>
        <w:jc w:val="left"/>
        <w:rPr>
          <w:rFonts w:ascii="仿宋_GB2312" w:hAnsi="仿宋_GB2312" w:cs="仿宋_GB2312"/>
          <w:b/>
          <w:bCs/>
          <w:szCs w:val="32"/>
        </w:rPr>
      </w:pPr>
      <w:r>
        <w:rPr>
          <w:rFonts w:hint="eastAsia" w:ascii="仿宋_GB2312" w:hAnsi="仿宋_GB2312" w:cs="仿宋_GB2312"/>
          <w:b/>
          <w:bCs/>
          <w:szCs w:val="32"/>
        </w:rPr>
        <w:t>基本要求</w:t>
      </w:r>
      <w:r>
        <w:rPr>
          <w:rFonts w:hint="eastAsia" w:ascii="仿宋_GB2312" w:hAnsi="仿宋_GB2312" w:cs="仿宋_GB2312"/>
          <w:bCs/>
          <w:szCs w:val="32"/>
        </w:rPr>
        <w:t>：一方面，明确了特级基地首先必须是合格的普通级基地的各项要求，在此基础上再叠加更为严格的有机管理要求。有机农业的核心是遵循自然规律和生态学原理，协调种植业和养殖业的平衡，特级基地的管理活动应当全面贯彻从投入品选择到生产操作，从生态系统维护到质量追溯管理，均须符合有机农业的基本要求。</w:t>
      </w:r>
    </w:p>
    <w:p w14:paraId="5F9F68A3">
      <w:pPr>
        <w:autoSpaceDE w:val="0"/>
        <w:autoSpaceDN w:val="0"/>
        <w:adjustRightInd w:val="0"/>
        <w:ind w:firstLine="643"/>
        <w:jc w:val="left"/>
        <w:rPr>
          <w:rFonts w:hint="eastAsia" w:ascii="仿宋_GB2312" w:hAnsi="仿宋_GB2312" w:cs="仿宋_GB2312"/>
          <w:bCs/>
          <w:szCs w:val="32"/>
        </w:rPr>
      </w:pPr>
      <w:r>
        <w:rPr>
          <w:rFonts w:hint="eastAsia" w:ascii="仿宋_GB2312" w:hAnsi="仿宋_GB2312" w:cs="仿宋_GB2312"/>
          <w:b/>
          <w:bCs/>
          <w:szCs w:val="32"/>
        </w:rPr>
        <w:t>产地环境</w:t>
      </w:r>
      <w:r>
        <w:rPr>
          <w:rFonts w:hint="eastAsia" w:ascii="仿宋_GB2312" w:hAnsi="仿宋_GB2312" w:cs="仿宋_GB2312"/>
          <w:bCs/>
          <w:szCs w:val="32"/>
        </w:rPr>
        <w:t>：首先规定了“应优先选择适应当地条件、抗病虫害的茉莉花品种”，这与普通级基地的要求一脉相承，但在特级阶段由于禁止使用化学合成农药，品种的抗病虫害能力对于维持生产稳定具有更为关键的作用，因此表述从“宜”升级为“应”，体现了要求的强化。其次，要求“应使用有机种苗。当市场无法获得时，可使用未经禁用物质处理的常规种苗，但应制定和实施获得有机种苗的计划”。这一规定充分考虑了横县茉莉花产业的实际情况——目前市场上有机茉莉花种苗的供给可能尚不充分，完全强制使用有机种苗可能导致标准无法执行。允许在特定条件下使用未经禁用物质处理的常规种苗，最后，还明确规定“不允许使用经禁用物质或方法处理过的种苗”，这是一条刚性约束，是有机生产从源头即须杜绝禁用物质的根本原则。</w:t>
      </w:r>
    </w:p>
    <w:p w14:paraId="7BDA68B2">
      <w:pPr>
        <w:autoSpaceDE w:val="0"/>
        <w:autoSpaceDN w:val="0"/>
        <w:adjustRightInd w:val="0"/>
        <w:ind w:firstLine="643"/>
        <w:jc w:val="left"/>
        <w:rPr>
          <w:rFonts w:hint="eastAsia" w:ascii="仿宋_GB2312" w:hAnsi="仿宋_GB2312" w:cs="仿宋_GB2312"/>
          <w:bCs/>
          <w:szCs w:val="32"/>
        </w:rPr>
      </w:pPr>
      <w:r>
        <w:rPr>
          <w:rFonts w:hint="eastAsia" w:ascii="仿宋_GB2312" w:hAnsi="仿宋_GB2312" w:cs="仿宋_GB2312"/>
          <w:b/>
          <w:bCs/>
          <w:szCs w:val="32"/>
        </w:rPr>
        <w:t>转换期：</w:t>
      </w:r>
      <w:r>
        <w:rPr>
          <w:rFonts w:hint="eastAsia" w:ascii="仿宋_GB2312" w:hAnsi="仿宋_GB2312" w:cs="仿宋_GB2312"/>
          <w:bCs/>
          <w:szCs w:val="32"/>
        </w:rPr>
        <w:t>转换期是指从开始实施有机生产至生产单元和产品获得有机产品认证之间的时段。首先规定“常规地块转换为有机基地至少需要36个月（首次有机收获前）”。茉莉花属于多年生木本植物，根据GB/T 19630的规定，饲料作物以外的其他多年生植物的转换期至少为收获前的36个月。其次，规定“新开垦或连续撂荒3年以上的地块，转换期至少12个月”。这一规定与GB/T 19630—2019第4.2.1.2款相一致，新开垦或长期撂荒的地块未曾使用过禁用物质，因此转换期可以适当缩短。同时，明确“转换期内完全按本文件要求管理，产品只能作为常规产品销售”。转换期内虽然按照有机标准进行生产管理，但在获得有机认证之前，产品不能以有机产品的名义销售，也不能使用任何与“有机”相关的标识。这一规定旨在维护有机产品认证的严肃性和市场秩序，防止“伪有机”产品混淆市场。</w:t>
      </w:r>
    </w:p>
    <w:p w14:paraId="3E6BF156">
      <w:pPr>
        <w:autoSpaceDE w:val="0"/>
        <w:autoSpaceDN w:val="0"/>
        <w:adjustRightInd w:val="0"/>
        <w:ind w:firstLine="643"/>
        <w:jc w:val="left"/>
        <w:rPr>
          <w:rFonts w:ascii="仿宋_GB2312" w:hAnsi="仿宋_GB2312" w:cs="仿宋_GB2312"/>
          <w:b/>
          <w:bCs/>
          <w:szCs w:val="32"/>
        </w:rPr>
      </w:pPr>
      <w:r>
        <w:rPr>
          <w:rStyle w:val="9"/>
          <w:rFonts w:ascii="Segoe UI" w:hAnsi="Segoe UI" w:cs="Segoe UI"/>
          <w:shd w:val="clear" w:color="auto" w:fill="FFFFFF"/>
        </w:rPr>
        <w:t>平行生产</w:t>
      </w:r>
      <w:r>
        <w:rPr>
          <w:rStyle w:val="9"/>
          <w:rFonts w:hint="eastAsia" w:ascii="Segoe UI" w:hAnsi="Segoe UI" w:cs="Segoe UI"/>
          <w:shd w:val="clear" w:color="auto" w:fill="FFFFFF"/>
        </w:rPr>
        <w:t>、缓冲带：</w:t>
      </w:r>
      <w:r>
        <w:rPr>
          <w:rStyle w:val="9"/>
          <w:rFonts w:hint="eastAsia" w:ascii="Segoe UI" w:hAnsi="Segoe UI" w:cs="Segoe UI"/>
          <w:b w:val="0"/>
          <w:shd w:val="clear" w:color="auto" w:fill="FFFFFF"/>
        </w:rPr>
        <w:t>平行生产是指在同一个生产单元中同时生产有机（或有机转换）产品和常规产品的情况；</w:t>
      </w:r>
      <w:r>
        <w:rPr>
          <w:rFonts w:ascii="Segoe UI" w:hAnsi="Segoe UI" w:cs="Segoe UI"/>
          <w:shd w:val="clear" w:color="auto" w:fill="FFFFFF"/>
        </w:rPr>
        <w:t>缓冲带是指在有机和常规地块之间有目的设置的、可明确界定的用来限制或阻挡邻近田块的禁用物质漂移的过渡区域</w:t>
      </w:r>
      <w:r>
        <w:rPr>
          <w:rFonts w:hint="eastAsia" w:ascii="Segoe UI" w:hAnsi="Segoe UI" w:cs="Segoe UI"/>
          <w:shd w:val="clear" w:color="auto" w:fill="FFFFFF"/>
        </w:rPr>
        <w:t>，平行生产、缓冲带</w:t>
      </w:r>
      <w:r>
        <w:rPr>
          <w:rStyle w:val="9"/>
          <w:rFonts w:hint="eastAsia" w:ascii="Segoe UI" w:hAnsi="Segoe UI" w:cs="Segoe UI"/>
          <w:b w:val="0"/>
          <w:shd w:val="clear" w:color="auto" w:fill="FFFFFF"/>
        </w:rPr>
        <w:t>各项规定主要参考</w:t>
      </w:r>
      <w:r>
        <w:rPr>
          <w:rFonts w:hint="eastAsia" w:ascii="仿宋_GB2312" w:hAnsi="仿宋_GB2312" w:cs="仿宋_GB2312"/>
          <w:bCs/>
          <w:szCs w:val="32"/>
        </w:rPr>
        <w:t>GB/T 19630进行明确。</w:t>
      </w:r>
    </w:p>
    <w:p w14:paraId="3C4120F6">
      <w:pPr>
        <w:autoSpaceDE w:val="0"/>
        <w:autoSpaceDN w:val="0"/>
        <w:adjustRightInd w:val="0"/>
        <w:ind w:firstLine="643"/>
        <w:jc w:val="left"/>
        <w:rPr>
          <w:rFonts w:hint="eastAsia" w:ascii="仿宋_GB2312" w:hAnsi="仿宋_GB2312" w:cs="仿宋_GB2312"/>
          <w:szCs w:val="32"/>
          <w:lang w:val="zh-CN"/>
        </w:rPr>
      </w:pPr>
      <w:r>
        <w:rPr>
          <w:rFonts w:hint="eastAsia" w:ascii="仿宋_GB2312" w:hAnsi="仿宋_GB2312" w:cs="仿宋_GB2312"/>
          <w:b/>
          <w:szCs w:val="32"/>
          <w:lang w:val="zh-CN"/>
        </w:rPr>
        <w:t>土肥管理：</w:t>
      </w:r>
      <w:r>
        <w:rPr>
          <w:rFonts w:hint="eastAsia" w:ascii="仿宋_GB2312" w:hAnsi="仿宋_GB2312" w:cs="仿宋_GB2312"/>
          <w:szCs w:val="32"/>
          <w:lang w:val="zh-CN"/>
        </w:rPr>
        <w:t>规定了特级（有机培育级）基地的土壤培肥和肥料使用要求，是主要的核心内容之一。土壤培肥原则：依据 GB/T 19630—2019 第4.5.1条“应通过回收、再生和补充土壤有机质和养分来维持和提高土壤肥力。应优先采用种植绿肥、作物轮作、秸秆还田等措施恢复地力。”本条款体现了有机农业“以地养地”的核心理念。外来投入品限制：依据GB/T 19630—2019第4.5.2条“当7.5.1条所述措施无法满足作物需求时，可施用有机肥、农家肥等。不应使用化学合成肥料和城市污水污泥。”本条款强调外来投入品仅在必要时使用，且严格禁止化学合成肥料。有机肥来源优先顺序：依据GB/T 19630—2019第4.5.3条“应优先使用本有机生产单元的有机肥。外购商品有机肥应经认证机构许可。”本条款确保有机肥来源的可追溯性和符合性。允许使用的土壤培肥物质：直接引用GB/T 19630—2019附录A表A.1“土壤培肥和改良物质”，明确允许使用天然矿物肥料、生物肥料等，但禁止通过化学处理提高溶解性，避免违背有机原则。</w:t>
      </w:r>
    </w:p>
    <w:p w14:paraId="454E7B75">
      <w:pPr>
        <w:autoSpaceDE w:val="0"/>
        <w:autoSpaceDN w:val="0"/>
        <w:adjustRightInd w:val="0"/>
        <w:ind w:firstLine="643"/>
        <w:jc w:val="left"/>
        <w:rPr>
          <w:rFonts w:ascii="仿宋_GB2312" w:hAnsi="仿宋_GB2312" w:cs="仿宋_GB2312"/>
          <w:szCs w:val="32"/>
          <w:lang w:val="zh-CN"/>
        </w:rPr>
      </w:pPr>
      <w:r>
        <w:rPr>
          <w:rFonts w:hint="eastAsia" w:ascii="仿宋_GB2312" w:hAnsi="仿宋_GB2312" w:cs="仿宋_GB2312"/>
          <w:b/>
          <w:szCs w:val="32"/>
          <w:lang w:val="zh-CN"/>
        </w:rPr>
        <w:t>灌溉与污染控制</w:t>
      </w:r>
      <w:r>
        <w:rPr>
          <w:rFonts w:hint="eastAsia" w:ascii="仿宋_GB2312" w:hAnsi="仿宋_GB2312" w:cs="仿宋_GB2312"/>
          <w:szCs w:val="32"/>
          <w:lang w:val="zh-CN"/>
        </w:rPr>
        <w:t>：规定了特级（有机培育级）基地的水资源管理和污染预防措施。灌溉水质与频率：灌溉水质应符合GB 5084，检测频率提升至“每季度检测1次或有污染风险时即时检测”，体现更高监控要求。“宜建立智能水肥一体化等节水灌溉系统”是鼓励采用先进技术提高资源效率。污染控制措施依据GB/T 19630—2019第4.7条“应采取有效措施防止常规生产区域的水或禁用物质流入有机生产单元。常规设备用于有机生产前应进行彻底清洁。”本条款确保有机地块不受外部污染。其他要求：兜底条款，要求其他按 GB/T 19630 执行，确保全面符合有机产品国家标准。</w:t>
      </w:r>
    </w:p>
    <w:p w14:paraId="01484BA3">
      <w:pPr>
        <w:autoSpaceDE w:val="0"/>
        <w:autoSpaceDN w:val="0"/>
        <w:adjustRightInd w:val="0"/>
        <w:ind w:firstLine="643"/>
        <w:rPr>
          <w:rFonts w:ascii="仿宋_GB2312" w:hAnsi="仿宋_GB2312" w:cs="仿宋_GB2312"/>
          <w:szCs w:val="32"/>
          <w:lang w:val="zh-CN"/>
        </w:rPr>
      </w:pPr>
      <w:r>
        <w:rPr>
          <w:rFonts w:hint="eastAsia" w:ascii="仿宋_GB2312" w:hAnsi="仿宋_GB2312" w:cs="仿宋_GB2312"/>
          <w:b/>
          <w:szCs w:val="32"/>
          <w:lang w:val="zh-CN"/>
        </w:rPr>
        <w:t>病虫害防治</w:t>
      </w:r>
      <w:r>
        <w:rPr>
          <w:rFonts w:hint="eastAsia" w:ascii="仿宋_GB2312" w:hAnsi="仿宋_GB2312" w:cs="仿宋_GB2312"/>
          <w:szCs w:val="32"/>
          <w:lang w:val="zh-CN"/>
        </w:rPr>
        <w:t>：规定了特级（有机培育级）基地的病虫害防治原则和方法。综合防治原则依据GB/T 19630—2019第4.6.1条“应通过选用抗性品种、培育壮苗、合理轮作、间作、田园清洁等措施防治病虫害；可采用物理措施（如灯光诱杀、色板诱杀、机械除草等）和生物措施（如释放天敌、使用生物制剂等）。”本条款完整体现了有机农业“预防为主，综合防治”的植保方针。允许使用的植保产品依据GB/T 19630—2019第4.6.2条“当7.6.1条所述方法无法有效控制病虫害时，可使用附录A表A.2所列的植物保护产品”，并严格按照其规定的条件、剂量和使用限额执行。本条款确保在必要时可有限度使用天然来源的植保产品（如天然除虫菊素、苦参碱、铜盐等），但需严格遵循限量要求。禁止使用的物质：明确禁止化学合成的农药、除草剂和生长调节剂，与GB/T 19630—2019第4.6.3条及《有机产品认证管理办法》第十五条完全一致。</w:t>
      </w:r>
    </w:p>
    <w:p w14:paraId="510ED564">
      <w:pPr>
        <w:autoSpaceDE w:val="0"/>
        <w:autoSpaceDN w:val="0"/>
        <w:adjustRightInd w:val="0"/>
        <w:ind w:firstLine="643"/>
        <w:rPr>
          <w:rFonts w:ascii="仿宋_GB2312" w:hAnsi="仿宋_GB2312" w:cs="仿宋_GB2312"/>
          <w:szCs w:val="32"/>
          <w:lang w:val="zh-CN"/>
        </w:rPr>
      </w:pPr>
      <w:r>
        <w:rPr>
          <w:rFonts w:hint="eastAsia" w:ascii="仿宋_GB2312" w:hAnsi="仿宋_GB2312" w:cs="仿宋_GB2312"/>
          <w:b/>
          <w:szCs w:val="32"/>
          <w:lang w:val="zh-CN"/>
        </w:rPr>
        <w:t>质量管理：</w:t>
      </w:r>
      <w:r>
        <w:rPr>
          <w:rFonts w:hint="eastAsia" w:ascii="仿宋_GB2312" w:hAnsi="仿宋_GB2312" w:cs="仿宋_GB2312"/>
          <w:szCs w:val="32"/>
          <w:lang w:val="zh-CN"/>
        </w:rPr>
        <w:t>特级基地“应建立完整的有机生产管理体系，包括地块档案、投入品记录、转换期计划、内部检查报告等。与普通级要求“制定质量安全管理制度文件”和优级要求“建立绿色生产专项档案、保存期不少于3年”相比，特级对质量管理的要求提升到了“完整的有机生产管理体系”的高度。</w:t>
      </w:r>
    </w:p>
    <w:p w14:paraId="37033C72">
      <w:pPr>
        <w:autoSpaceDE w:val="0"/>
        <w:autoSpaceDN w:val="0"/>
        <w:adjustRightInd w:val="0"/>
        <w:ind w:firstLine="643"/>
        <w:jc w:val="left"/>
        <w:rPr>
          <w:rFonts w:ascii="仿宋_GB2312" w:hAnsi="仿宋_GB2312" w:cs="仿宋_GB2312"/>
          <w:szCs w:val="32"/>
          <w:lang w:val="zh-CN"/>
        </w:rPr>
      </w:pPr>
      <w:r>
        <w:rPr>
          <w:rFonts w:hint="eastAsia" w:ascii="仿宋_GB2312" w:hAnsi="仿宋_GB2312" w:cs="仿宋_GB2312"/>
          <w:b/>
          <w:bCs/>
          <w:szCs w:val="32"/>
        </w:rPr>
        <w:t>(六）等级评定管理</w:t>
      </w:r>
    </w:p>
    <w:p w14:paraId="7AA25FC8">
      <w:pPr>
        <w:autoSpaceDE w:val="0"/>
        <w:autoSpaceDN w:val="0"/>
        <w:adjustRightInd w:val="0"/>
        <w:ind w:firstLine="640"/>
        <w:jc w:val="left"/>
        <w:rPr>
          <w:rFonts w:ascii="仿宋_GB2312" w:hAnsi="仿宋_GB2312" w:cs="仿宋_GB2312"/>
          <w:szCs w:val="32"/>
          <w:lang w:val="zh-CN"/>
        </w:rPr>
      </w:pPr>
      <w:r>
        <w:rPr>
          <w:rFonts w:hint="eastAsia" w:ascii="仿宋_GB2312" w:hAnsi="仿宋_GB2312" w:cs="仿宋_GB2312"/>
          <w:szCs w:val="32"/>
          <w:lang w:val="zh-CN"/>
        </w:rPr>
        <w:t>规定了横县茉莉花种植基地各等级评定的程序、证书与标志管理以及监督与撤销机制。充分参照了《农产品质量安全承诺达标合格证管理办法》（农业农村部令2025年第4号）、《绿色食品标志许可审查工作规范》（中绿审〔2022〕11号）、《有机产品认证管理办法》以及GB/T 19630《有机产品 生产、加工、标识与管理体系要求》等相关法规和标准中关于认证管理的程序和要求，确保了与现行国家和行业认证管理制度全面衔接。</w:t>
      </w:r>
    </w:p>
    <w:p w14:paraId="780EDECB">
      <w:pPr>
        <w:autoSpaceDE w:val="0"/>
        <w:autoSpaceDN w:val="0"/>
        <w:adjustRightInd w:val="0"/>
        <w:ind w:firstLine="643"/>
        <w:jc w:val="left"/>
        <w:rPr>
          <w:rFonts w:hint="eastAsia" w:ascii="仿宋_GB2312" w:hAnsi="仿宋_GB2312" w:cs="仿宋_GB2312"/>
          <w:b/>
          <w:szCs w:val="32"/>
          <w:lang w:val="zh-CN"/>
        </w:rPr>
      </w:pPr>
      <w:r>
        <w:rPr>
          <w:rFonts w:hint="eastAsia" w:ascii="仿宋_GB2312" w:hAnsi="仿宋_GB2312" w:cs="仿宋_GB2312"/>
          <w:b/>
          <w:szCs w:val="32"/>
          <w:lang w:val="zh-CN"/>
        </w:rPr>
        <w:t>评定与认证：</w:t>
      </w:r>
      <w:r>
        <w:rPr>
          <w:rFonts w:hint="eastAsia"/>
        </w:rPr>
        <w:t>各等级基地的评定与认证工作，应由具有法人资格的行业组织或有关部门、机构依据本文件独立实施。认证程序应包括申请、文件审核、现场检查、评定等环节。</w:t>
      </w:r>
    </w:p>
    <w:p w14:paraId="7CC86DE1">
      <w:pPr>
        <w:autoSpaceDE w:val="0"/>
        <w:autoSpaceDN w:val="0"/>
        <w:adjustRightInd w:val="0"/>
        <w:ind w:firstLine="643"/>
        <w:jc w:val="left"/>
        <w:rPr>
          <w:rStyle w:val="9"/>
          <w:rFonts w:hint="eastAsia" w:ascii="Segoe UI" w:hAnsi="Segoe UI" w:cs="Segoe UI"/>
          <w:b w:val="0"/>
          <w:shd w:val="clear" w:color="auto" w:fill="FFFFFF"/>
        </w:rPr>
      </w:pPr>
      <w:r>
        <w:rPr>
          <w:rStyle w:val="9"/>
          <w:rFonts w:ascii="Segoe UI" w:hAnsi="Segoe UI" w:cs="Segoe UI"/>
          <w:shd w:val="clear" w:color="auto" w:fill="FFFFFF"/>
        </w:rPr>
        <w:t>证书与标志</w:t>
      </w:r>
      <w:r>
        <w:rPr>
          <w:rStyle w:val="9"/>
          <w:rFonts w:hint="eastAsia" w:ascii="Segoe UI" w:hAnsi="Segoe UI" w:cs="Segoe UI"/>
          <w:shd w:val="clear" w:color="auto" w:fill="FFFFFF"/>
        </w:rPr>
        <w:t>：</w:t>
      </w:r>
      <w:r>
        <w:rPr>
          <w:rStyle w:val="9"/>
          <w:rFonts w:hint="eastAsia" w:ascii="Segoe UI" w:hAnsi="Segoe UI" w:cs="Segoe UI"/>
          <w:b w:val="0"/>
          <w:shd w:val="clear" w:color="auto" w:fill="FFFFFF"/>
        </w:rPr>
        <w:t>通过评定的基地，可获得相应等级的认证证书，并可在符合要求的产品及宣传中使用对应的等级标志。</w:t>
      </w:r>
    </w:p>
    <w:p w14:paraId="3CF3B288">
      <w:pPr>
        <w:autoSpaceDE w:val="0"/>
        <w:autoSpaceDN w:val="0"/>
        <w:adjustRightInd w:val="0"/>
        <w:ind w:firstLine="643"/>
        <w:jc w:val="left"/>
        <w:rPr>
          <w:rFonts w:ascii="仿宋_GB2312" w:hAnsi="仿宋_GB2312" w:cs="仿宋_GB2312"/>
          <w:szCs w:val="32"/>
        </w:rPr>
      </w:pPr>
      <w:r>
        <w:rPr>
          <w:rStyle w:val="9"/>
          <w:rFonts w:ascii="Segoe UI" w:hAnsi="Segoe UI" w:cs="Segoe UI"/>
          <w:shd w:val="clear" w:color="auto" w:fill="FFFFFF"/>
        </w:rPr>
        <w:t>监督与撤销</w:t>
      </w:r>
      <w:r>
        <w:rPr>
          <w:rStyle w:val="9"/>
          <w:rFonts w:hint="eastAsia" w:ascii="Segoe UI" w:hAnsi="Segoe UI" w:cs="Segoe UI"/>
          <w:shd w:val="clear" w:color="auto" w:fill="FFFFFF"/>
        </w:rPr>
        <w:t>：</w:t>
      </w:r>
      <w:r>
        <w:rPr>
          <w:rStyle w:val="9"/>
          <w:rFonts w:hint="eastAsia" w:ascii="Segoe UI" w:hAnsi="Segoe UI" w:cs="Segoe UI"/>
          <w:b w:val="0"/>
          <w:shd w:val="clear" w:color="auto" w:fill="FFFFFF"/>
        </w:rPr>
        <w:t>认证机构应对获证基地进行监督，承诺达标合格级每2年一次，优级和特级每年至少1次（含不通知检查）。对不符合本文件要求的，应要求限期整改；对出现严重问题或欺诈行为的，应立即撤销其证书，并予以公告。</w:t>
      </w:r>
    </w:p>
    <w:p w14:paraId="43B351A7">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六、</w:t>
      </w:r>
      <w:bookmarkEnd w:id="5"/>
      <w:r>
        <w:rPr>
          <w:rFonts w:hint="eastAsia" w:ascii="黑体" w:hAnsi="黑体" w:eastAsia="黑体" w:cs="仿宋_GB2312"/>
          <w:szCs w:val="32"/>
        </w:rPr>
        <w:t>重大分歧意见的处理经过和依据</w:t>
      </w:r>
    </w:p>
    <w:p w14:paraId="70A20D2E">
      <w:pPr>
        <w:ind w:firstLine="640"/>
        <w:rPr>
          <w:rFonts w:ascii="仿宋_GB2312" w:hAnsi="仿宋_GB2312" w:cs="仿宋_GB2312"/>
          <w:szCs w:val="28"/>
        </w:rPr>
      </w:pPr>
      <w:r>
        <w:rPr>
          <w:rFonts w:hint="eastAsia" w:ascii="仿宋_GB2312" w:hAnsi="仿宋_GB2312" w:cs="仿宋_GB2312"/>
          <w:szCs w:val="28"/>
        </w:rPr>
        <w:t>本标准研制过程中无重大分歧意见。</w:t>
      </w:r>
    </w:p>
    <w:p w14:paraId="720656F9">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七、实施标准的措施</w:t>
      </w:r>
    </w:p>
    <w:p w14:paraId="3A018155">
      <w:pPr>
        <w:ind w:firstLine="643"/>
        <w:rPr>
          <w:rFonts w:ascii="仿宋_GB2312" w:hAnsi="仿宋_GB2312" w:cs="仿宋_GB2312"/>
          <w:b/>
          <w:szCs w:val="28"/>
        </w:rPr>
      </w:pPr>
      <w:r>
        <w:rPr>
          <w:rFonts w:hint="eastAsia" w:ascii="仿宋_GB2312" w:hAnsi="仿宋_GB2312" w:cs="仿宋_GB2312"/>
          <w:b/>
          <w:szCs w:val="28"/>
        </w:rPr>
        <w:t>（一）标准报批发布后，成立标准宣贯工作组</w:t>
      </w:r>
    </w:p>
    <w:p w14:paraId="1B181670">
      <w:pPr>
        <w:ind w:firstLine="640"/>
        <w:rPr>
          <w:rFonts w:ascii="仿宋_GB2312" w:hAnsi="仿宋_GB2312" w:cs="仿宋_GB2312"/>
          <w:szCs w:val="28"/>
        </w:rPr>
      </w:pPr>
      <w:r>
        <w:rPr>
          <w:rFonts w:hint="eastAsia" w:ascii="仿宋_GB2312" w:hAnsi="仿宋_GB2312" w:cs="仿宋_GB231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4AA16BEE">
      <w:pPr>
        <w:ind w:firstLine="643"/>
        <w:rPr>
          <w:rFonts w:ascii="仿宋_GB2312" w:hAnsi="仿宋_GB2312" w:cs="仿宋_GB2312"/>
          <w:b/>
          <w:szCs w:val="28"/>
        </w:rPr>
      </w:pPr>
      <w:r>
        <w:rPr>
          <w:rFonts w:hint="eastAsia" w:ascii="仿宋_GB2312" w:hAnsi="仿宋_GB2312" w:cs="仿宋_GB2312"/>
          <w:b/>
          <w:szCs w:val="28"/>
        </w:rPr>
        <w:t>（二）组织开展标准宣贯培训</w:t>
      </w:r>
    </w:p>
    <w:p w14:paraId="57A6803F">
      <w:pPr>
        <w:ind w:firstLine="640"/>
        <w:rPr>
          <w:rFonts w:ascii="仿宋_GB2312" w:hAnsi="仿宋_GB2312" w:cs="仿宋_GB2312"/>
          <w:szCs w:val="28"/>
        </w:rPr>
      </w:pPr>
      <w:r>
        <w:rPr>
          <w:rFonts w:hint="eastAsia" w:ascii="仿宋_GB2312" w:hAnsi="仿宋_GB2312" w:cs="仿宋_GB231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79A045DF">
      <w:pPr>
        <w:ind w:firstLine="643"/>
        <w:rPr>
          <w:rFonts w:ascii="仿宋_GB2312" w:hAnsi="仿宋_GB2312" w:cs="仿宋_GB2312"/>
          <w:b/>
          <w:szCs w:val="28"/>
        </w:rPr>
      </w:pPr>
      <w:r>
        <w:rPr>
          <w:rFonts w:hint="eastAsia" w:ascii="仿宋_GB2312" w:hAnsi="仿宋_GB2312" w:cs="仿宋_GB2312"/>
          <w:b/>
          <w:szCs w:val="28"/>
        </w:rPr>
        <w:t>（三）开展标准实施交流会，收集标准实施反馈信息</w:t>
      </w:r>
    </w:p>
    <w:p w14:paraId="0712779A">
      <w:pPr>
        <w:ind w:firstLine="640"/>
        <w:rPr>
          <w:rFonts w:ascii="仿宋_GB2312" w:hAnsi="仿宋_GB2312" w:cs="仿宋_GB2312"/>
          <w:szCs w:val="28"/>
        </w:rPr>
      </w:pPr>
      <w:r>
        <w:rPr>
          <w:rFonts w:hint="eastAsia" w:ascii="仿宋_GB2312" w:hAnsi="仿宋_GB2312" w:cs="仿宋_GB231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4DDA3BB3">
      <w:pPr>
        <w:ind w:firstLine="643"/>
        <w:rPr>
          <w:rFonts w:ascii="仿宋_GB2312" w:hAnsi="仿宋_GB2312" w:cs="仿宋_GB2312"/>
          <w:b/>
          <w:szCs w:val="28"/>
        </w:rPr>
      </w:pPr>
      <w:r>
        <w:rPr>
          <w:rFonts w:hint="eastAsia" w:ascii="仿宋_GB2312" w:hAnsi="仿宋_GB2312" w:cs="仿宋_GB2312"/>
          <w:b/>
          <w:szCs w:val="28"/>
        </w:rPr>
        <w:t>（四）开展标准实施效果评估</w:t>
      </w:r>
    </w:p>
    <w:p w14:paraId="17DCFF75">
      <w:pPr>
        <w:ind w:firstLine="640"/>
        <w:rPr>
          <w:rFonts w:ascii="仿宋_GB2312" w:hAnsi="仿宋_GB2312" w:cs="仿宋_GB2312"/>
          <w:szCs w:val="28"/>
        </w:rPr>
      </w:pPr>
      <w:r>
        <w:rPr>
          <w:rFonts w:hint="eastAsia" w:ascii="仿宋_GB2312" w:hAnsi="仿宋_GB2312" w:cs="仿宋_GB231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7F834998">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八、其他应当说明的事项</w:t>
      </w:r>
    </w:p>
    <w:p w14:paraId="1455CD38">
      <w:pPr>
        <w:ind w:firstLine="640"/>
        <w:rPr>
          <w:rFonts w:ascii="仿宋_GB2312" w:hAnsi="仿宋_GB2312" w:cs="仿宋_GB2312"/>
          <w:szCs w:val="28"/>
        </w:rPr>
      </w:pPr>
      <w:r>
        <w:rPr>
          <w:rFonts w:hint="eastAsia" w:ascii="仿宋_GB2312" w:hAnsi="仿宋_GB2312" w:cs="仿宋_GB2312"/>
          <w:szCs w:val="28"/>
        </w:rPr>
        <w:t>无。</w:t>
      </w:r>
    </w:p>
    <w:p w14:paraId="1DE97B63">
      <w:pPr>
        <w:ind w:firstLine="0" w:firstLineChars="0"/>
        <w:rPr>
          <w:rFonts w:ascii="仿宋_GB2312" w:hAnsi="仿宋_GB2312" w:cs="仿宋_GB2312"/>
          <w:bCs/>
          <w:sz w:val="36"/>
          <w:szCs w:val="32"/>
        </w:rPr>
      </w:pPr>
    </w:p>
    <w:p w14:paraId="23130D50">
      <w:pPr>
        <w:wordWrap w:val="0"/>
        <w:ind w:firstLine="560"/>
        <w:jc w:val="right"/>
        <w:rPr>
          <w:rFonts w:hint="eastAsia" w:ascii="仿宋_GB2312" w:hAnsi="仿宋_GB2312" w:cs="仿宋_GB2312"/>
          <w:sz w:val="28"/>
          <w:szCs w:val="28"/>
        </w:rPr>
      </w:pPr>
      <w:r>
        <w:rPr>
          <w:rFonts w:hint="eastAsia" w:ascii="仿宋_GB2312" w:hAnsi="仿宋_GB2312" w:cs="仿宋_GB2312"/>
          <w:sz w:val="28"/>
          <w:szCs w:val="28"/>
        </w:rPr>
        <w:t>团体标准《横县茉莉花种植基地管理规范》</w:t>
      </w:r>
    </w:p>
    <w:p w14:paraId="1C9FEFC9">
      <w:pPr>
        <w:ind w:firstLine="560"/>
        <w:jc w:val="right"/>
        <w:rPr>
          <w:rFonts w:ascii="仿宋_GB2312" w:hAnsi="仿宋_GB2312" w:cs="仿宋_GB2312"/>
          <w:szCs w:val="28"/>
        </w:rPr>
      </w:pPr>
      <w:r>
        <w:rPr>
          <w:rFonts w:hint="eastAsia" w:ascii="仿宋_GB2312" w:hAnsi="仿宋_GB2312" w:cs="仿宋_GB2312"/>
          <w:sz w:val="28"/>
          <w:szCs w:val="28"/>
        </w:rPr>
        <w:t>标准编制工作组</w:t>
      </w:r>
    </w:p>
    <w:p w14:paraId="3B127113">
      <w:pPr>
        <w:wordWrap w:val="0"/>
        <w:ind w:firstLine="560"/>
        <w:jc w:val="right"/>
        <w:rPr>
          <w:rFonts w:ascii="仿宋_GB2312" w:hAnsi="仿宋_GB2312" w:cs="仿宋_GB2312"/>
          <w:szCs w:val="28"/>
        </w:rPr>
      </w:pPr>
      <w:r>
        <w:rPr>
          <w:rFonts w:hint="eastAsia" w:ascii="仿宋_GB2312" w:hAnsi="仿宋_GB2312" w:cs="仿宋_GB2312"/>
          <w:sz w:val="28"/>
          <w:szCs w:val="28"/>
        </w:rPr>
        <w:t>2026年6月17日</w:t>
      </w:r>
    </w:p>
    <w:sectPr>
      <w:headerReference r:id="rId7" w:type="first"/>
      <w:footerReference r:id="rId10" w:type="first"/>
      <w:headerReference r:id="rId5" w:type="default"/>
      <w:footerReference r:id="rId8" w:type="default"/>
      <w:headerReference r:id="rId6" w:type="even"/>
      <w:footerReference r:id="rId9" w:type="even"/>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Segoe UI">
    <w:panose1 w:val="020B0502040204020203"/>
    <w:charset w:val="00"/>
    <w:family w:val="swiss"/>
    <w:pitch w:val="default"/>
    <w:sig w:usb0="E10022FF" w:usb1="C000E47F" w:usb2="00000029" w:usb3="00000000" w:csb0="200001DF" w:csb1="20000000"/>
  </w:font>
  <w:font w:name="等线 Light">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0EA8A3B1">
        <w:pPr>
          <w:pStyle w:val="3"/>
          <w:ind w:firstLine="360"/>
          <w:jc w:val="center"/>
        </w:pPr>
        <w:r>
          <w:fldChar w:fldCharType="begin"/>
        </w:r>
        <w:r>
          <w:instrText xml:space="preserve">PAGE   \* MERGEFORMAT</w:instrText>
        </w:r>
        <w:r>
          <w:fldChar w:fldCharType="separate"/>
        </w:r>
        <w:r>
          <w:rPr>
            <w:lang w:val="zh-CN"/>
          </w:rPr>
          <w:t>14</w:t>
        </w:r>
        <w:r>
          <w:fldChar w:fldCharType="end"/>
        </w:r>
      </w:p>
    </w:sdtContent>
  </w:sdt>
  <w:p w14:paraId="4D0DE76A">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51EDC">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A435A">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45AEA">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E5B2A">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3C79">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5"/>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18"/>
      <w:suff w:val="nothing"/>
      <w:lvlText w:val="%1.%2.%3.%4　"/>
      <w:lvlJc w:val="left"/>
      <w:pPr>
        <w:ind w:left="0" w:firstLine="0"/>
      </w:pPr>
      <w:rPr>
        <w:rFonts w:hint="eastAsia" w:ascii="黑体" w:hAnsi="Times New Roman" w:eastAsia="黑体"/>
        <w:b w:val="0"/>
        <w:i w:val="0"/>
        <w:sz w:val="21"/>
      </w:rPr>
    </w:lvl>
    <w:lvl w:ilvl="4" w:tentative="0">
      <w:start w:val="1"/>
      <w:numFmt w:val="decimal"/>
      <w:pStyle w:val="19"/>
      <w:suff w:val="nothing"/>
      <w:lvlText w:val="%1.%2.%3.%4.%5　"/>
      <w:lvlJc w:val="left"/>
      <w:pPr>
        <w:ind w:left="0" w:firstLine="0"/>
      </w:pPr>
      <w:rPr>
        <w:rFonts w:hint="eastAsia" w:ascii="黑体" w:hAnsi="Times New Roman" w:eastAsia="黑体"/>
        <w:b w:val="0"/>
        <w:i w:val="0"/>
        <w:sz w:val="21"/>
      </w:rPr>
    </w:lvl>
    <w:lvl w:ilvl="5" w:tentative="0">
      <w:start w:val="1"/>
      <w:numFmt w:val="decimal"/>
      <w:pStyle w:val="2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2"/>
      <w:suff w:val="space"/>
      <w:lvlText w:val="%1"/>
      <w:lvlJc w:val="left"/>
      <w:pPr>
        <w:ind w:left="623" w:hanging="425"/>
      </w:pPr>
      <w:rPr>
        <w:rFonts w:hint="eastAsia"/>
      </w:rPr>
    </w:lvl>
    <w:lvl w:ilvl="1" w:tentative="0">
      <w:start w:val="1"/>
      <w:numFmt w:val="decimal"/>
      <w:pStyle w:val="2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44"/>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EDD73F1"/>
    <w:multiLevelType w:val="multilevel"/>
    <w:tmpl w:val="3EDD73F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57C2AF5"/>
    <w:multiLevelType w:val="multilevel"/>
    <w:tmpl w:val="557C2AF5"/>
    <w:lvl w:ilvl="0" w:tentative="0">
      <w:start w:val="1"/>
      <w:numFmt w:val="decimal"/>
      <w:pStyle w:val="1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9">
    <w:nsid w:val="646260FA"/>
    <w:multiLevelType w:val="multilevel"/>
    <w:tmpl w:val="646260FA"/>
    <w:lvl w:ilvl="0" w:tentative="0">
      <w:start w:val="1"/>
      <w:numFmt w:val="decimal"/>
      <w:pStyle w:val="4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7"/>
      <w:suff w:val="nothing"/>
      <w:lvlText w:val="%1%2　"/>
      <w:lvlJc w:val="left"/>
      <w:pPr>
        <w:ind w:left="0" w:firstLine="0"/>
      </w:pPr>
      <w:rPr>
        <w:rFonts w:hint="eastAsia" w:ascii="黑体"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3"/>
  </w:num>
  <w:num w:numId="3">
    <w:abstractNumId w:val="0"/>
  </w:num>
  <w:num w:numId="4">
    <w:abstractNumId w:val="4"/>
  </w:num>
  <w:num w:numId="5">
    <w:abstractNumId w:val="2"/>
  </w:num>
  <w:num w:numId="6">
    <w:abstractNumId w:val="1"/>
  </w:num>
  <w:num w:numId="7">
    <w:abstractNumId w:val="8"/>
  </w:num>
  <w:num w:numId="8">
    <w:abstractNumId w:val="10"/>
  </w:num>
  <w:num w:numId="9">
    <w:abstractNumId w:val="9"/>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076FF"/>
    <w:rsid w:val="000107BC"/>
    <w:rsid w:val="00013090"/>
    <w:rsid w:val="00016837"/>
    <w:rsid w:val="00021331"/>
    <w:rsid w:val="0002230A"/>
    <w:rsid w:val="00023119"/>
    <w:rsid w:val="00023FE2"/>
    <w:rsid w:val="00024212"/>
    <w:rsid w:val="00024664"/>
    <w:rsid w:val="00027D4D"/>
    <w:rsid w:val="00032CD6"/>
    <w:rsid w:val="00033257"/>
    <w:rsid w:val="00034233"/>
    <w:rsid w:val="00034BDB"/>
    <w:rsid w:val="00044EF2"/>
    <w:rsid w:val="00047D7B"/>
    <w:rsid w:val="00052165"/>
    <w:rsid w:val="00053B0B"/>
    <w:rsid w:val="000576D0"/>
    <w:rsid w:val="00057758"/>
    <w:rsid w:val="00060FE2"/>
    <w:rsid w:val="0007330D"/>
    <w:rsid w:val="0007384D"/>
    <w:rsid w:val="00073F72"/>
    <w:rsid w:val="000744AE"/>
    <w:rsid w:val="00074EB1"/>
    <w:rsid w:val="00076BBA"/>
    <w:rsid w:val="00080F2F"/>
    <w:rsid w:val="0008145A"/>
    <w:rsid w:val="00087BA3"/>
    <w:rsid w:val="0009177A"/>
    <w:rsid w:val="00093E74"/>
    <w:rsid w:val="000962F6"/>
    <w:rsid w:val="00097404"/>
    <w:rsid w:val="000A0201"/>
    <w:rsid w:val="000A1220"/>
    <w:rsid w:val="000A1EAE"/>
    <w:rsid w:val="000A3070"/>
    <w:rsid w:val="000A3744"/>
    <w:rsid w:val="000A4601"/>
    <w:rsid w:val="000A77CD"/>
    <w:rsid w:val="000B51AE"/>
    <w:rsid w:val="000B572A"/>
    <w:rsid w:val="000C6512"/>
    <w:rsid w:val="000D0ACE"/>
    <w:rsid w:val="000D15BE"/>
    <w:rsid w:val="000D44AD"/>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35CBB"/>
    <w:rsid w:val="001435D3"/>
    <w:rsid w:val="001449B5"/>
    <w:rsid w:val="001463AC"/>
    <w:rsid w:val="00150FB3"/>
    <w:rsid w:val="0015152A"/>
    <w:rsid w:val="00156020"/>
    <w:rsid w:val="00156663"/>
    <w:rsid w:val="001611BB"/>
    <w:rsid w:val="00167167"/>
    <w:rsid w:val="001708F8"/>
    <w:rsid w:val="0018112C"/>
    <w:rsid w:val="00183467"/>
    <w:rsid w:val="00190A64"/>
    <w:rsid w:val="00190C6A"/>
    <w:rsid w:val="00191774"/>
    <w:rsid w:val="00191DCE"/>
    <w:rsid w:val="00191F75"/>
    <w:rsid w:val="001923CF"/>
    <w:rsid w:val="001925FD"/>
    <w:rsid w:val="001930A1"/>
    <w:rsid w:val="00194FE3"/>
    <w:rsid w:val="001954AC"/>
    <w:rsid w:val="00196054"/>
    <w:rsid w:val="0019711F"/>
    <w:rsid w:val="001A0DBF"/>
    <w:rsid w:val="001A3402"/>
    <w:rsid w:val="001B0E92"/>
    <w:rsid w:val="001B36E5"/>
    <w:rsid w:val="001B3B17"/>
    <w:rsid w:val="001B73AD"/>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5BB7"/>
    <w:rsid w:val="00217683"/>
    <w:rsid w:val="002223DD"/>
    <w:rsid w:val="002231E8"/>
    <w:rsid w:val="00223EB7"/>
    <w:rsid w:val="00224EB8"/>
    <w:rsid w:val="00231E62"/>
    <w:rsid w:val="00232769"/>
    <w:rsid w:val="00233498"/>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66510"/>
    <w:rsid w:val="00270391"/>
    <w:rsid w:val="002709B9"/>
    <w:rsid w:val="0027235B"/>
    <w:rsid w:val="00273A91"/>
    <w:rsid w:val="00283085"/>
    <w:rsid w:val="00283E25"/>
    <w:rsid w:val="0029084D"/>
    <w:rsid w:val="00291D7F"/>
    <w:rsid w:val="00291EF3"/>
    <w:rsid w:val="002952AC"/>
    <w:rsid w:val="0029607B"/>
    <w:rsid w:val="002A2FCF"/>
    <w:rsid w:val="002A4D06"/>
    <w:rsid w:val="002A5D80"/>
    <w:rsid w:val="002B07E3"/>
    <w:rsid w:val="002B20F4"/>
    <w:rsid w:val="002B23AB"/>
    <w:rsid w:val="002B2E35"/>
    <w:rsid w:val="002B3D69"/>
    <w:rsid w:val="002B5497"/>
    <w:rsid w:val="002C0ED5"/>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08EA"/>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2FF"/>
    <w:rsid w:val="00373BAD"/>
    <w:rsid w:val="00374390"/>
    <w:rsid w:val="003754CF"/>
    <w:rsid w:val="00381796"/>
    <w:rsid w:val="00382AB2"/>
    <w:rsid w:val="00386647"/>
    <w:rsid w:val="00386EDB"/>
    <w:rsid w:val="00391984"/>
    <w:rsid w:val="00392E22"/>
    <w:rsid w:val="0039549C"/>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112B"/>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637"/>
    <w:rsid w:val="004B2E7F"/>
    <w:rsid w:val="004C4136"/>
    <w:rsid w:val="004D155D"/>
    <w:rsid w:val="004D2302"/>
    <w:rsid w:val="004D5B22"/>
    <w:rsid w:val="004E3026"/>
    <w:rsid w:val="004F0593"/>
    <w:rsid w:val="004F48C2"/>
    <w:rsid w:val="004F6805"/>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5F2C"/>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A75B3"/>
    <w:rsid w:val="005B03D1"/>
    <w:rsid w:val="005B0CDC"/>
    <w:rsid w:val="005B23F7"/>
    <w:rsid w:val="005B7128"/>
    <w:rsid w:val="005B76D5"/>
    <w:rsid w:val="005B7B7E"/>
    <w:rsid w:val="005C468E"/>
    <w:rsid w:val="005C640F"/>
    <w:rsid w:val="005C6642"/>
    <w:rsid w:val="005D06D6"/>
    <w:rsid w:val="005D1EE1"/>
    <w:rsid w:val="005D2762"/>
    <w:rsid w:val="005D2AEE"/>
    <w:rsid w:val="005D3F96"/>
    <w:rsid w:val="005D5DDF"/>
    <w:rsid w:val="005D6A5C"/>
    <w:rsid w:val="005E05D4"/>
    <w:rsid w:val="005E207A"/>
    <w:rsid w:val="005E2143"/>
    <w:rsid w:val="005E4780"/>
    <w:rsid w:val="005F0995"/>
    <w:rsid w:val="005F1E35"/>
    <w:rsid w:val="005F1FE4"/>
    <w:rsid w:val="005F36D9"/>
    <w:rsid w:val="005F4F92"/>
    <w:rsid w:val="005F6C71"/>
    <w:rsid w:val="005F71EC"/>
    <w:rsid w:val="005F7613"/>
    <w:rsid w:val="006062AE"/>
    <w:rsid w:val="0060656D"/>
    <w:rsid w:val="00606B5A"/>
    <w:rsid w:val="00607937"/>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484F"/>
    <w:rsid w:val="006B6EA3"/>
    <w:rsid w:val="006C0CC0"/>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4593"/>
    <w:rsid w:val="00715CA4"/>
    <w:rsid w:val="00716EAC"/>
    <w:rsid w:val="00720395"/>
    <w:rsid w:val="00722AAE"/>
    <w:rsid w:val="0072448B"/>
    <w:rsid w:val="007245EF"/>
    <w:rsid w:val="00725107"/>
    <w:rsid w:val="00726016"/>
    <w:rsid w:val="00726F82"/>
    <w:rsid w:val="007432F4"/>
    <w:rsid w:val="0075401E"/>
    <w:rsid w:val="00755471"/>
    <w:rsid w:val="007556A8"/>
    <w:rsid w:val="00756686"/>
    <w:rsid w:val="00760DDA"/>
    <w:rsid w:val="00760FBD"/>
    <w:rsid w:val="00764175"/>
    <w:rsid w:val="007715E7"/>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1767A"/>
    <w:rsid w:val="00825BEF"/>
    <w:rsid w:val="008275DE"/>
    <w:rsid w:val="0083025F"/>
    <w:rsid w:val="00831A4E"/>
    <w:rsid w:val="00834158"/>
    <w:rsid w:val="00834F29"/>
    <w:rsid w:val="0083542B"/>
    <w:rsid w:val="00837133"/>
    <w:rsid w:val="00841879"/>
    <w:rsid w:val="00841FDD"/>
    <w:rsid w:val="00843099"/>
    <w:rsid w:val="00844A63"/>
    <w:rsid w:val="00845B6B"/>
    <w:rsid w:val="00852EF3"/>
    <w:rsid w:val="0085555C"/>
    <w:rsid w:val="0085722C"/>
    <w:rsid w:val="00860076"/>
    <w:rsid w:val="00864B42"/>
    <w:rsid w:val="00864EDC"/>
    <w:rsid w:val="008717FD"/>
    <w:rsid w:val="00872085"/>
    <w:rsid w:val="0087311E"/>
    <w:rsid w:val="00874562"/>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4A51"/>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2D31"/>
    <w:rsid w:val="00993328"/>
    <w:rsid w:val="00995822"/>
    <w:rsid w:val="00997A44"/>
    <w:rsid w:val="009A008D"/>
    <w:rsid w:val="009A0C7B"/>
    <w:rsid w:val="009A1FC7"/>
    <w:rsid w:val="009A7254"/>
    <w:rsid w:val="009B2BF4"/>
    <w:rsid w:val="009B52A3"/>
    <w:rsid w:val="009B53BA"/>
    <w:rsid w:val="009B609B"/>
    <w:rsid w:val="009B6F4E"/>
    <w:rsid w:val="009B6FA5"/>
    <w:rsid w:val="009B74CD"/>
    <w:rsid w:val="009C2227"/>
    <w:rsid w:val="009D1F6F"/>
    <w:rsid w:val="009D38DB"/>
    <w:rsid w:val="009D3D0A"/>
    <w:rsid w:val="009D628E"/>
    <w:rsid w:val="009D62DE"/>
    <w:rsid w:val="009E129D"/>
    <w:rsid w:val="009E1F06"/>
    <w:rsid w:val="009E5DEF"/>
    <w:rsid w:val="009E6B6B"/>
    <w:rsid w:val="009F09A7"/>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4FF5"/>
    <w:rsid w:val="00A35F3F"/>
    <w:rsid w:val="00A36B38"/>
    <w:rsid w:val="00A40234"/>
    <w:rsid w:val="00A43B03"/>
    <w:rsid w:val="00A4496C"/>
    <w:rsid w:val="00A51323"/>
    <w:rsid w:val="00A51BDA"/>
    <w:rsid w:val="00A52FED"/>
    <w:rsid w:val="00A547EA"/>
    <w:rsid w:val="00A54EE3"/>
    <w:rsid w:val="00A60040"/>
    <w:rsid w:val="00A61125"/>
    <w:rsid w:val="00A64033"/>
    <w:rsid w:val="00A65635"/>
    <w:rsid w:val="00A66230"/>
    <w:rsid w:val="00A66B33"/>
    <w:rsid w:val="00A706DE"/>
    <w:rsid w:val="00A70BEA"/>
    <w:rsid w:val="00A70F4F"/>
    <w:rsid w:val="00A71744"/>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4019"/>
    <w:rsid w:val="00AE5941"/>
    <w:rsid w:val="00AE7E72"/>
    <w:rsid w:val="00AF00B0"/>
    <w:rsid w:val="00AF0B6E"/>
    <w:rsid w:val="00AF0C1B"/>
    <w:rsid w:val="00AF1152"/>
    <w:rsid w:val="00AF20DE"/>
    <w:rsid w:val="00AF2C7E"/>
    <w:rsid w:val="00AF337C"/>
    <w:rsid w:val="00AF365B"/>
    <w:rsid w:val="00AF3BC9"/>
    <w:rsid w:val="00B009E1"/>
    <w:rsid w:val="00B0152E"/>
    <w:rsid w:val="00B06F77"/>
    <w:rsid w:val="00B13069"/>
    <w:rsid w:val="00B17EA4"/>
    <w:rsid w:val="00B200B1"/>
    <w:rsid w:val="00B2197E"/>
    <w:rsid w:val="00B2401D"/>
    <w:rsid w:val="00B271E2"/>
    <w:rsid w:val="00B27F1E"/>
    <w:rsid w:val="00B320E0"/>
    <w:rsid w:val="00B32D83"/>
    <w:rsid w:val="00B35A2B"/>
    <w:rsid w:val="00B43FA4"/>
    <w:rsid w:val="00B44C87"/>
    <w:rsid w:val="00B47772"/>
    <w:rsid w:val="00B47DC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49A0"/>
    <w:rsid w:val="00B873B1"/>
    <w:rsid w:val="00B91C42"/>
    <w:rsid w:val="00B9497A"/>
    <w:rsid w:val="00BB0ED6"/>
    <w:rsid w:val="00BB1C0A"/>
    <w:rsid w:val="00BB4376"/>
    <w:rsid w:val="00BB4A45"/>
    <w:rsid w:val="00BB4B74"/>
    <w:rsid w:val="00BB6FED"/>
    <w:rsid w:val="00BC41B2"/>
    <w:rsid w:val="00BC45B6"/>
    <w:rsid w:val="00BC4F9E"/>
    <w:rsid w:val="00BD6E93"/>
    <w:rsid w:val="00BE0799"/>
    <w:rsid w:val="00BE26D9"/>
    <w:rsid w:val="00BE78B1"/>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2FE"/>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A7EEA"/>
    <w:rsid w:val="00CC1221"/>
    <w:rsid w:val="00CC1894"/>
    <w:rsid w:val="00CC4EE7"/>
    <w:rsid w:val="00CD2275"/>
    <w:rsid w:val="00CD30B5"/>
    <w:rsid w:val="00CD34B2"/>
    <w:rsid w:val="00CD4CC6"/>
    <w:rsid w:val="00CD5C22"/>
    <w:rsid w:val="00CE363E"/>
    <w:rsid w:val="00CF1430"/>
    <w:rsid w:val="00CF1AE4"/>
    <w:rsid w:val="00D0046C"/>
    <w:rsid w:val="00D00979"/>
    <w:rsid w:val="00D01E3B"/>
    <w:rsid w:val="00D05480"/>
    <w:rsid w:val="00D06EEA"/>
    <w:rsid w:val="00D115E2"/>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1DF8"/>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4961"/>
    <w:rsid w:val="00DC551D"/>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3C37"/>
    <w:rsid w:val="00E26D09"/>
    <w:rsid w:val="00E26EE5"/>
    <w:rsid w:val="00E32815"/>
    <w:rsid w:val="00E33554"/>
    <w:rsid w:val="00E40596"/>
    <w:rsid w:val="00E40BA9"/>
    <w:rsid w:val="00E41B77"/>
    <w:rsid w:val="00E451CB"/>
    <w:rsid w:val="00E45EC3"/>
    <w:rsid w:val="00E47C4F"/>
    <w:rsid w:val="00E54124"/>
    <w:rsid w:val="00E541A3"/>
    <w:rsid w:val="00E56839"/>
    <w:rsid w:val="00E6080C"/>
    <w:rsid w:val="00E637BB"/>
    <w:rsid w:val="00E638C8"/>
    <w:rsid w:val="00E658DD"/>
    <w:rsid w:val="00E65D7E"/>
    <w:rsid w:val="00E70383"/>
    <w:rsid w:val="00E7427C"/>
    <w:rsid w:val="00E75972"/>
    <w:rsid w:val="00E815D2"/>
    <w:rsid w:val="00E82204"/>
    <w:rsid w:val="00E8377B"/>
    <w:rsid w:val="00E83A77"/>
    <w:rsid w:val="00E86B52"/>
    <w:rsid w:val="00E8796C"/>
    <w:rsid w:val="00E90251"/>
    <w:rsid w:val="00E933C0"/>
    <w:rsid w:val="00E93B86"/>
    <w:rsid w:val="00E962B7"/>
    <w:rsid w:val="00E96877"/>
    <w:rsid w:val="00E978BF"/>
    <w:rsid w:val="00EA1188"/>
    <w:rsid w:val="00EA3C4E"/>
    <w:rsid w:val="00EB0752"/>
    <w:rsid w:val="00EB0AE1"/>
    <w:rsid w:val="00EB1186"/>
    <w:rsid w:val="00EB77CC"/>
    <w:rsid w:val="00EC0997"/>
    <w:rsid w:val="00EC2EEF"/>
    <w:rsid w:val="00EC5DDD"/>
    <w:rsid w:val="00EC6B51"/>
    <w:rsid w:val="00ED2F39"/>
    <w:rsid w:val="00ED30F4"/>
    <w:rsid w:val="00ED43BB"/>
    <w:rsid w:val="00ED449A"/>
    <w:rsid w:val="00ED5314"/>
    <w:rsid w:val="00ED68E9"/>
    <w:rsid w:val="00EE1FC2"/>
    <w:rsid w:val="00EE568F"/>
    <w:rsid w:val="00EF19E3"/>
    <w:rsid w:val="00EF346D"/>
    <w:rsid w:val="00EF670C"/>
    <w:rsid w:val="00F01ED0"/>
    <w:rsid w:val="00F11F09"/>
    <w:rsid w:val="00F1455B"/>
    <w:rsid w:val="00F16D36"/>
    <w:rsid w:val="00F210FD"/>
    <w:rsid w:val="00F250D2"/>
    <w:rsid w:val="00F25716"/>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B7E08"/>
    <w:rsid w:val="00FC037E"/>
    <w:rsid w:val="00FC19B9"/>
    <w:rsid w:val="00FC4D35"/>
    <w:rsid w:val="00FC4DE3"/>
    <w:rsid w:val="00FC6716"/>
    <w:rsid w:val="00FD00A5"/>
    <w:rsid w:val="00FD319B"/>
    <w:rsid w:val="00FD4B0F"/>
    <w:rsid w:val="00FE0661"/>
    <w:rsid w:val="00FF0C09"/>
    <w:rsid w:val="00FF1DD7"/>
    <w:rsid w:val="00FF3775"/>
    <w:rsid w:val="0136732D"/>
    <w:rsid w:val="01B91D0C"/>
    <w:rsid w:val="01CE5D1C"/>
    <w:rsid w:val="024C2B81"/>
    <w:rsid w:val="02663C42"/>
    <w:rsid w:val="0301396B"/>
    <w:rsid w:val="034904DF"/>
    <w:rsid w:val="039E595D"/>
    <w:rsid w:val="03E77005"/>
    <w:rsid w:val="041651F4"/>
    <w:rsid w:val="04441D61"/>
    <w:rsid w:val="04F16063"/>
    <w:rsid w:val="050B287F"/>
    <w:rsid w:val="0530678A"/>
    <w:rsid w:val="060A0D89"/>
    <w:rsid w:val="070F07F6"/>
    <w:rsid w:val="08083403"/>
    <w:rsid w:val="088A4B5D"/>
    <w:rsid w:val="09694018"/>
    <w:rsid w:val="09BE5E2A"/>
    <w:rsid w:val="0A091F73"/>
    <w:rsid w:val="0A8504E9"/>
    <w:rsid w:val="0CC151AB"/>
    <w:rsid w:val="0D7F02AE"/>
    <w:rsid w:val="0D92619C"/>
    <w:rsid w:val="0DF465A6"/>
    <w:rsid w:val="0F412CA9"/>
    <w:rsid w:val="0FD566D2"/>
    <w:rsid w:val="118934A9"/>
    <w:rsid w:val="11924EB2"/>
    <w:rsid w:val="11A554D7"/>
    <w:rsid w:val="12AF5192"/>
    <w:rsid w:val="13B2170D"/>
    <w:rsid w:val="13B97480"/>
    <w:rsid w:val="13CB172E"/>
    <w:rsid w:val="14034EB5"/>
    <w:rsid w:val="14787805"/>
    <w:rsid w:val="14870494"/>
    <w:rsid w:val="15085E8C"/>
    <w:rsid w:val="15174F60"/>
    <w:rsid w:val="1556095A"/>
    <w:rsid w:val="15E11B06"/>
    <w:rsid w:val="167D7F24"/>
    <w:rsid w:val="16D451C7"/>
    <w:rsid w:val="17306AB5"/>
    <w:rsid w:val="17373F64"/>
    <w:rsid w:val="17614581"/>
    <w:rsid w:val="17805371"/>
    <w:rsid w:val="180F222F"/>
    <w:rsid w:val="18194E5B"/>
    <w:rsid w:val="196640D0"/>
    <w:rsid w:val="19A054D6"/>
    <w:rsid w:val="1B0717C8"/>
    <w:rsid w:val="1B636B19"/>
    <w:rsid w:val="1BE33681"/>
    <w:rsid w:val="1CCC6940"/>
    <w:rsid w:val="1EB350B6"/>
    <w:rsid w:val="1ED45248"/>
    <w:rsid w:val="1FD2426D"/>
    <w:rsid w:val="201C7BDE"/>
    <w:rsid w:val="20355E85"/>
    <w:rsid w:val="20653288"/>
    <w:rsid w:val="21862EC6"/>
    <w:rsid w:val="218D48F0"/>
    <w:rsid w:val="237A2B2A"/>
    <w:rsid w:val="23EF1892"/>
    <w:rsid w:val="24174945"/>
    <w:rsid w:val="2426102C"/>
    <w:rsid w:val="257227BA"/>
    <w:rsid w:val="25CB074B"/>
    <w:rsid w:val="25F52A64"/>
    <w:rsid w:val="265B5E13"/>
    <w:rsid w:val="267B565F"/>
    <w:rsid w:val="26A56238"/>
    <w:rsid w:val="26C863CA"/>
    <w:rsid w:val="2718377D"/>
    <w:rsid w:val="280B47C0"/>
    <w:rsid w:val="28135ECF"/>
    <w:rsid w:val="29F714A0"/>
    <w:rsid w:val="2A16744D"/>
    <w:rsid w:val="2AAC5B23"/>
    <w:rsid w:val="2AB32EED"/>
    <w:rsid w:val="2B3109E2"/>
    <w:rsid w:val="2B487ADA"/>
    <w:rsid w:val="2BE55328"/>
    <w:rsid w:val="2C254300"/>
    <w:rsid w:val="2C416A03"/>
    <w:rsid w:val="2C4F36F5"/>
    <w:rsid w:val="2D5F22BD"/>
    <w:rsid w:val="2D7D7F0E"/>
    <w:rsid w:val="2DF6381D"/>
    <w:rsid w:val="2EBD433B"/>
    <w:rsid w:val="2EC76F67"/>
    <w:rsid w:val="2FF37D11"/>
    <w:rsid w:val="3013049D"/>
    <w:rsid w:val="31507BB8"/>
    <w:rsid w:val="32CE4D68"/>
    <w:rsid w:val="332C3D99"/>
    <w:rsid w:val="3491604D"/>
    <w:rsid w:val="35150A2C"/>
    <w:rsid w:val="359758E5"/>
    <w:rsid w:val="35F9034E"/>
    <w:rsid w:val="365875C5"/>
    <w:rsid w:val="37623CD1"/>
    <w:rsid w:val="37E6086A"/>
    <w:rsid w:val="38673C95"/>
    <w:rsid w:val="39356049"/>
    <w:rsid w:val="395104A1"/>
    <w:rsid w:val="39822409"/>
    <w:rsid w:val="3A296D28"/>
    <w:rsid w:val="3A7C32FC"/>
    <w:rsid w:val="3B0E03F8"/>
    <w:rsid w:val="3B3B4F65"/>
    <w:rsid w:val="3B4E60E4"/>
    <w:rsid w:val="3BFE2074"/>
    <w:rsid w:val="3C3178A8"/>
    <w:rsid w:val="3C5938F5"/>
    <w:rsid w:val="3C7F013C"/>
    <w:rsid w:val="3E38578C"/>
    <w:rsid w:val="3E3C527C"/>
    <w:rsid w:val="3E6912FB"/>
    <w:rsid w:val="3F5860E5"/>
    <w:rsid w:val="3F8C7277"/>
    <w:rsid w:val="3FA0222F"/>
    <w:rsid w:val="42D769B6"/>
    <w:rsid w:val="42E83B26"/>
    <w:rsid w:val="4359067E"/>
    <w:rsid w:val="44F600D3"/>
    <w:rsid w:val="45617704"/>
    <w:rsid w:val="4597723C"/>
    <w:rsid w:val="45C142B9"/>
    <w:rsid w:val="464E0242"/>
    <w:rsid w:val="483B0352"/>
    <w:rsid w:val="48B048DB"/>
    <w:rsid w:val="492434DC"/>
    <w:rsid w:val="4A6718D3"/>
    <w:rsid w:val="4ADB2CA1"/>
    <w:rsid w:val="4B8C0594"/>
    <w:rsid w:val="4C0F7B1B"/>
    <w:rsid w:val="4CFE380A"/>
    <w:rsid w:val="4D862B8C"/>
    <w:rsid w:val="4DFF35F5"/>
    <w:rsid w:val="4ECE0172"/>
    <w:rsid w:val="4EF47599"/>
    <w:rsid w:val="4F844CD5"/>
    <w:rsid w:val="4FE3578A"/>
    <w:rsid w:val="501871CB"/>
    <w:rsid w:val="52C06024"/>
    <w:rsid w:val="53963229"/>
    <w:rsid w:val="54E94B5B"/>
    <w:rsid w:val="55661639"/>
    <w:rsid w:val="55761622"/>
    <w:rsid w:val="55801A9A"/>
    <w:rsid w:val="55F928C7"/>
    <w:rsid w:val="5626534E"/>
    <w:rsid w:val="57727B09"/>
    <w:rsid w:val="5945756E"/>
    <w:rsid w:val="5ACB1A0A"/>
    <w:rsid w:val="5BBA4800"/>
    <w:rsid w:val="5BCA3A6F"/>
    <w:rsid w:val="5BD857FA"/>
    <w:rsid w:val="5C080481"/>
    <w:rsid w:val="5CE45005"/>
    <w:rsid w:val="5DB11343"/>
    <w:rsid w:val="5E202145"/>
    <w:rsid w:val="5EA902B4"/>
    <w:rsid w:val="5ED2069F"/>
    <w:rsid w:val="5EF57055"/>
    <w:rsid w:val="5F223BC2"/>
    <w:rsid w:val="5F621BCD"/>
    <w:rsid w:val="5F717FA2"/>
    <w:rsid w:val="6031647B"/>
    <w:rsid w:val="60651FB9"/>
    <w:rsid w:val="60FB46CB"/>
    <w:rsid w:val="61BE5E24"/>
    <w:rsid w:val="62F74A7A"/>
    <w:rsid w:val="63247F09"/>
    <w:rsid w:val="63F20007"/>
    <w:rsid w:val="64487C27"/>
    <w:rsid w:val="645E744B"/>
    <w:rsid w:val="668E2223"/>
    <w:rsid w:val="683026D9"/>
    <w:rsid w:val="689A6DDC"/>
    <w:rsid w:val="693F388B"/>
    <w:rsid w:val="69C75A92"/>
    <w:rsid w:val="69EE1271"/>
    <w:rsid w:val="69F50021"/>
    <w:rsid w:val="6A301889"/>
    <w:rsid w:val="6C865790"/>
    <w:rsid w:val="6C9003BD"/>
    <w:rsid w:val="6D21370B"/>
    <w:rsid w:val="6DBA21A1"/>
    <w:rsid w:val="6DDB516E"/>
    <w:rsid w:val="6E7C32EF"/>
    <w:rsid w:val="6EB20ABF"/>
    <w:rsid w:val="6FB6638D"/>
    <w:rsid w:val="6FBE3493"/>
    <w:rsid w:val="709541F4"/>
    <w:rsid w:val="713752AB"/>
    <w:rsid w:val="718524BB"/>
    <w:rsid w:val="71C31235"/>
    <w:rsid w:val="725956F5"/>
    <w:rsid w:val="72EB27F1"/>
    <w:rsid w:val="73245D03"/>
    <w:rsid w:val="73731F46"/>
    <w:rsid w:val="743B3304"/>
    <w:rsid w:val="74604B19"/>
    <w:rsid w:val="757D171F"/>
    <w:rsid w:val="769D02A6"/>
    <w:rsid w:val="78AA0A59"/>
    <w:rsid w:val="78AF3D07"/>
    <w:rsid w:val="79B06543"/>
    <w:rsid w:val="7AF5051C"/>
    <w:rsid w:val="7BBA680A"/>
    <w:rsid w:val="7BE826AE"/>
    <w:rsid w:val="7CAF2AE1"/>
    <w:rsid w:val="7CCF532E"/>
    <w:rsid w:val="7D0746CC"/>
    <w:rsid w:val="7D342FE7"/>
    <w:rsid w:val="7D3C49C8"/>
    <w:rsid w:val="7D480840"/>
    <w:rsid w:val="7E00338F"/>
    <w:rsid w:val="7E635932"/>
    <w:rsid w:val="7F9B5070"/>
    <w:rsid w:val="7FB83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36"/>
    <w:semiHidden/>
    <w:unhideWhenUsed/>
    <w:qFormat/>
    <w:uiPriority w:val="0"/>
    <w:rPr>
      <w:sz w:val="18"/>
      <w:szCs w:val="18"/>
    </w:rPr>
  </w:style>
  <w:style w:type="paragraph" w:styleId="3">
    <w:name w:val="footer"/>
    <w:basedOn w:val="1"/>
    <w:link w:val="28"/>
    <w:qFormat/>
    <w:uiPriority w:val="99"/>
    <w:pPr>
      <w:tabs>
        <w:tab w:val="center" w:pos="4153"/>
        <w:tab w:val="right" w:pos="8306"/>
      </w:tabs>
      <w:snapToGrid w:val="0"/>
      <w:jc w:val="left"/>
    </w:pPr>
    <w:rPr>
      <w:sz w:val="18"/>
      <w:szCs w:val="18"/>
    </w:rPr>
  </w:style>
  <w:style w:type="paragraph" w:styleId="4">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table" w:styleId="7">
    <w:name w:val="Table Grid"/>
    <w:basedOn w:val="6"/>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Hyperlink"/>
    <w:basedOn w:val="8"/>
    <w:unhideWhenUsed/>
    <w:qFormat/>
    <w:uiPriority w:val="99"/>
    <w:rPr>
      <w:color w:val="0000FF"/>
      <w:u w:val="single"/>
    </w:rPr>
  </w:style>
  <w:style w:type="paragraph" w:customStyle="1" w:styleId="11">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正文表标题"/>
    <w:next w:val="11"/>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3">
    <w:name w:val="正文图标题"/>
    <w:next w:val="1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其他发布日期"/>
    <w:basedOn w:val="1"/>
    <w:qFormat/>
    <w:uiPriority w:val="0"/>
    <w:pPr>
      <w:framePr w:w="3997" w:h="471" w:hRule="exact" w:vSpace="181" w:wrap="around" w:vAnchor="page" w:hAnchor="page" w:x="1419" w:y="14097" w:anchorLock="1"/>
      <w:widowControl/>
      <w:numPr>
        <w:ilvl w:val="0"/>
        <w:numId w:val="1"/>
      </w:numPr>
      <w:jc w:val="left"/>
    </w:pPr>
    <w:rPr>
      <w:rFonts w:eastAsia="黑体"/>
      <w:kern w:val="0"/>
      <w:sz w:val="28"/>
      <w:szCs w:val="20"/>
    </w:rPr>
  </w:style>
  <w:style w:type="paragraph" w:customStyle="1" w:styleId="15">
    <w:name w:val="一级条标题"/>
    <w:next w:val="1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16">
    <w:name w:val="章标题"/>
    <w:next w:val="11"/>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17">
    <w:name w:val="二级条标题"/>
    <w:basedOn w:val="15"/>
    <w:next w:val="11"/>
    <w:qFormat/>
    <w:uiPriority w:val="0"/>
    <w:pPr>
      <w:numPr>
        <w:ilvl w:val="2"/>
      </w:numPr>
      <w:spacing w:before="50" w:after="50"/>
      <w:outlineLvl w:val="3"/>
    </w:pPr>
  </w:style>
  <w:style w:type="paragraph" w:customStyle="1" w:styleId="18">
    <w:name w:val="三级条标题"/>
    <w:basedOn w:val="17"/>
    <w:next w:val="11"/>
    <w:qFormat/>
    <w:uiPriority w:val="0"/>
    <w:pPr>
      <w:numPr>
        <w:ilvl w:val="3"/>
      </w:numPr>
      <w:outlineLvl w:val="4"/>
    </w:pPr>
  </w:style>
  <w:style w:type="paragraph" w:customStyle="1" w:styleId="19">
    <w:name w:val="四级条标题"/>
    <w:basedOn w:val="18"/>
    <w:next w:val="11"/>
    <w:qFormat/>
    <w:uiPriority w:val="0"/>
    <w:pPr>
      <w:numPr>
        <w:ilvl w:val="4"/>
      </w:numPr>
      <w:outlineLvl w:val="5"/>
    </w:pPr>
  </w:style>
  <w:style w:type="paragraph" w:customStyle="1" w:styleId="20">
    <w:name w:val="五级条标题"/>
    <w:basedOn w:val="19"/>
    <w:next w:val="11"/>
    <w:qFormat/>
    <w:uiPriority w:val="0"/>
    <w:pPr>
      <w:numPr>
        <w:ilvl w:val="5"/>
      </w:numPr>
      <w:outlineLvl w:val="6"/>
    </w:pPr>
  </w:style>
  <w:style w:type="paragraph" w:customStyle="1" w:styleId="21">
    <w:name w:val="注："/>
    <w:next w:val="11"/>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2">
    <w:name w:val="附录图标号"/>
    <w:basedOn w:val="1"/>
    <w:qFormat/>
    <w:uiPriority w:val="0"/>
    <w:pPr>
      <w:keepNext/>
      <w:pageBreakBefore/>
      <w:widowControl/>
      <w:numPr>
        <w:ilvl w:val="0"/>
        <w:numId w:val="4"/>
      </w:numPr>
      <w:spacing w:line="14" w:lineRule="exact"/>
      <w:ind w:left="0" w:firstLine="363"/>
      <w:jc w:val="center"/>
      <w:outlineLvl w:val="0"/>
    </w:pPr>
    <w:rPr>
      <w:color w:val="FFFFFF"/>
    </w:rPr>
  </w:style>
  <w:style w:type="paragraph" w:customStyle="1" w:styleId="23">
    <w:name w:val="附录图标题"/>
    <w:basedOn w:val="1"/>
    <w:next w:val="11"/>
    <w:qFormat/>
    <w:uiPriority w:val="0"/>
    <w:pPr>
      <w:numPr>
        <w:ilvl w:val="1"/>
        <w:numId w:val="4"/>
      </w:numPr>
      <w:tabs>
        <w:tab w:val="left" w:pos="363"/>
      </w:tabs>
      <w:spacing w:beforeLines="50" w:afterLines="50"/>
      <w:ind w:left="0" w:firstLine="0"/>
      <w:jc w:val="center"/>
    </w:pPr>
    <w:rPr>
      <w:rFonts w:ascii="黑体" w:eastAsia="黑体"/>
      <w:szCs w:val="21"/>
    </w:rPr>
  </w:style>
  <w:style w:type="paragraph" w:customStyle="1" w:styleId="24">
    <w:name w:val="注×：（正文）"/>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25">
    <w:name w:val="图表脚注说明"/>
    <w:basedOn w:val="1"/>
    <w:qFormat/>
    <w:uiPriority w:val="0"/>
    <w:pPr>
      <w:numPr>
        <w:ilvl w:val="0"/>
        <w:numId w:val="6"/>
      </w:numPr>
    </w:pPr>
    <w:rPr>
      <w:rFonts w:ascii="宋体"/>
      <w:sz w:val="18"/>
      <w:szCs w:val="18"/>
    </w:rPr>
  </w:style>
  <w:style w:type="character" w:customStyle="1" w:styleId="26">
    <w:name w:val="段 Char"/>
    <w:basedOn w:val="8"/>
    <w:link w:val="11"/>
    <w:qFormat/>
    <w:uiPriority w:val="0"/>
    <w:rPr>
      <w:rFonts w:ascii="宋体"/>
      <w:sz w:val="21"/>
      <w:lang w:val="en-US" w:eastAsia="zh-CN" w:bidi="ar-SA"/>
    </w:rPr>
  </w:style>
  <w:style w:type="character" w:customStyle="1" w:styleId="27">
    <w:name w:val="页眉 Char"/>
    <w:basedOn w:val="8"/>
    <w:link w:val="4"/>
    <w:qFormat/>
    <w:uiPriority w:val="0"/>
    <w:rPr>
      <w:kern w:val="2"/>
      <w:sz w:val="18"/>
      <w:szCs w:val="18"/>
    </w:rPr>
  </w:style>
  <w:style w:type="character" w:customStyle="1" w:styleId="28">
    <w:name w:val="页脚 Char"/>
    <w:basedOn w:val="8"/>
    <w:link w:val="3"/>
    <w:qFormat/>
    <w:uiPriority w:val="99"/>
    <w:rPr>
      <w:kern w:val="2"/>
      <w:sz w:val="18"/>
      <w:szCs w:val="18"/>
    </w:rPr>
  </w:style>
  <w:style w:type="paragraph" w:customStyle="1" w:styleId="29">
    <w:name w:val="附录表标题"/>
    <w:basedOn w:val="1"/>
    <w:next w:val="11"/>
    <w:qFormat/>
    <w:uiPriority w:val="0"/>
    <w:pPr>
      <w:numPr>
        <w:ilvl w:val="1"/>
        <w:numId w:val="7"/>
      </w:numPr>
      <w:tabs>
        <w:tab w:val="left" w:pos="180"/>
      </w:tabs>
      <w:spacing w:beforeLines="50" w:afterLines="50"/>
      <w:ind w:left="0" w:firstLine="0"/>
      <w:jc w:val="center"/>
    </w:pPr>
    <w:rPr>
      <w:rFonts w:ascii="黑体" w:eastAsia="黑体"/>
      <w:szCs w:val="21"/>
    </w:rPr>
  </w:style>
  <w:style w:type="paragraph" w:styleId="30">
    <w:name w:val="List Paragraph"/>
    <w:basedOn w:val="1"/>
    <w:unhideWhenUsed/>
    <w:qFormat/>
    <w:uiPriority w:val="0"/>
    <w:pPr>
      <w:ind w:firstLine="420"/>
    </w:pPr>
  </w:style>
  <w:style w:type="paragraph" w:customStyle="1" w:styleId="3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3">
    <w:name w:val="发布"/>
    <w:qFormat/>
    <w:uiPriority w:val="0"/>
    <w:rPr>
      <w:rFonts w:ascii="黑体" w:eastAsia="黑体"/>
      <w:spacing w:val="22"/>
      <w:w w:val="100"/>
      <w:position w:val="3"/>
      <w:sz w:val="28"/>
    </w:rPr>
  </w:style>
  <w:style w:type="paragraph" w:customStyle="1" w:styleId="34">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6">
    <w:name w:val="批注框文本 Char"/>
    <w:basedOn w:val="8"/>
    <w:link w:val="2"/>
    <w:semiHidden/>
    <w:qFormat/>
    <w:uiPriority w:val="0"/>
    <w:rPr>
      <w:rFonts w:ascii="Times New Roman" w:hAnsi="Times New Roman"/>
      <w:kern w:val="2"/>
      <w:sz w:val="18"/>
      <w:szCs w:val="18"/>
    </w:rPr>
  </w:style>
  <w:style w:type="paragraph" w:customStyle="1" w:styleId="37">
    <w:name w:val="标准文件_章标题"/>
    <w:next w:val="35"/>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8">
    <w:name w:val="标准文件_一级无标题"/>
    <w:basedOn w:val="39"/>
    <w:qFormat/>
    <w:uiPriority w:val="0"/>
    <w:pPr>
      <w:spacing w:beforeLines="0" w:afterLines="0"/>
      <w:outlineLvl w:val="9"/>
    </w:pPr>
    <w:rPr>
      <w:rFonts w:ascii="宋体" w:eastAsia="宋体"/>
    </w:rPr>
  </w:style>
  <w:style w:type="paragraph" w:customStyle="1" w:styleId="39">
    <w:name w:val="标准文件_一级条标题"/>
    <w:basedOn w:val="37"/>
    <w:next w:val="35"/>
    <w:qFormat/>
    <w:uiPriority w:val="0"/>
    <w:pPr>
      <w:numPr>
        <w:ilvl w:val="2"/>
      </w:numPr>
      <w:spacing w:beforeLines="50" w:afterLines="50"/>
      <w:outlineLvl w:val="1"/>
    </w:pPr>
  </w:style>
  <w:style w:type="paragraph" w:customStyle="1" w:styleId="40">
    <w:name w:val="标准文件_正文公式"/>
    <w:basedOn w:val="1"/>
    <w:next w:val="41"/>
    <w:qFormat/>
    <w:uiPriority w:val="0"/>
    <w:pPr>
      <w:tabs>
        <w:tab w:val="center" w:pos="4678"/>
        <w:tab w:val="right" w:leader="middleDot" w:pos="9356"/>
      </w:tabs>
    </w:pPr>
    <w:rPr>
      <w:rFonts w:ascii="宋体" w:hAnsi="宋体"/>
    </w:rPr>
  </w:style>
  <w:style w:type="paragraph" w:customStyle="1" w:styleId="41">
    <w:name w:val="标准文件_标准正文"/>
    <w:basedOn w:val="1"/>
    <w:next w:val="35"/>
    <w:qFormat/>
    <w:uiPriority w:val="0"/>
    <w:pPr>
      <w:snapToGrid w:val="0"/>
      <w:ind w:firstLine="200"/>
    </w:pPr>
    <w:rPr>
      <w:kern w:val="0"/>
    </w:rPr>
  </w:style>
  <w:style w:type="paragraph" w:customStyle="1" w:styleId="42">
    <w:name w:val="标准文件_正文表标题"/>
    <w:next w:val="35"/>
    <w:qFormat/>
    <w:uiPriority w:val="0"/>
    <w:pPr>
      <w:numPr>
        <w:ilvl w:val="0"/>
        <w:numId w:val="9"/>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43">
    <w:name w:val="标准文件_表格"/>
    <w:basedOn w:val="35"/>
    <w:qFormat/>
    <w:uiPriority w:val="0"/>
    <w:pPr>
      <w:ind w:firstLine="0" w:firstLineChars="0"/>
      <w:jc w:val="center"/>
    </w:pPr>
    <w:rPr>
      <w:sz w:val="18"/>
    </w:rPr>
  </w:style>
  <w:style w:type="paragraph" w:customStyle="1" w:styleId="44">
    <w:name w:val="标准文件_一级项"/>
    <w:qFormat/>
    <w:uiPriority w:val="0"/>
    <w:pPr>
      <w:numPr>
        <w:ilvl w:val="0"/>
        <w:numId w:val="10"/>
      </w:numPr>
    </w:pPr>
    <w:rPr>
      <w:rFonts w:ascii="宋体" w:hAnsi="Times New Roman" w:eastAsia="宋体" w:cs="Times New Roman"/>
      <w:sz w:val="21"/>
      <w:lang w:val="en-US" w:eastAsia="zh-CN" w:bidi="ar-SA"/>
    </w:rPr>
  </w:style>
  <w:style w:type="paragraph" w:customStyle="1" w:styleId="45">
    <w:name w:val="List Paragraph1"/>
    <w:basedOn w:val="1"/>
    <w:qFormat/>
    <w:uiPriority w:val="0"/>
    <w:pPr>
      <w:ind w:firstLine="200"/>
    </w:pPr>
    <w:rPr>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31</Pages>
  <Words>15749</Words>
  <Characters>16382</Characters>
  <Lines>129</Lines>
  <Paragraphs>36</Paragraphs>
  <TotalTime>1</TotalTime>
  <ScaleCrop>false</ScaleCrop>
  <LinksUpToDate>false</LinksUpToDate>
  <CharactersWithSpaces>16475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Better</cp:lastModifiedBy>
  <cp:lastPrinted>2026-06-22T03:49:00Z</cp:lastPrinted>
  <dcterms:modified xsi:type="dcterms:W3CDTF">2026-08-17T07:37:31Z</dcterms:modified>
  <dc:title>广西地方标准《脱氢枞酸》（征求意见稿）</dc:title>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026CF76227104E619FBD98A8FEEC3623_13</vt:lpwstr>
  </property>
  <property fmtid="{D5CDD505-2E9C-101B-9397-08002B2CF9AE}" pid="4" name="KSOTemplateDocerSaveRecord">
    <vt:lpwstr>eyJoZGlkIjoiNjkyMTI5YmM0YzdhN2UwZWQ0YzkxMTQ1ZWZjNWYyZDYiLCJ1c2VySWQiOiIzMTg4MTI4NjAifQ==</vt:lpwstr>
  </property>
</Properties>
</file>